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33421147"/>
        <w:docPartObj>
          <w:docPartGallery w:val="Cover Pages"/>
          <w:docPartUnique/>
        </w:docPartObj>
      </w:sdtPr>
      <w:sdtEndPr/>
      <w:sdtContent>
        <w:p w14:paraId="31359087" w14:textId="77777777" w:rsidR="003177C6" w:rsidRDefault="003177C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A6C6445" wp14:editId="2452DD07">
                    <wp:simplePos x="0" y="0"/>
                    <wp:positionH relativeFrom="page">
                      <wp:posOffset>-95250</wp:posOffset>
                    </wp:positionH>
                    <wp:positionV relativeFrom="margin">
                      <wp:posOffset>589915</wp:posOffset>
                    </wp:positionV>
                    <wp:extent cx="7767320" cy="7634605"/>
                    <wp:effectExtent l="57150" t="0" r="43180" b="42545"/>
                    <wp:wrapNone/>
                    <wp:docPr id="407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7320" cy="7634605"/>
                              <a:chOff x="0" y="2376"/>
                              <a:chExt cx="12232" cy="12023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2" cy="4738"/>
                                <a:chOff x="-6" y="3399"/>
                                <a:chExt cx="12189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alpha val="50000"/>
                                    </a:scheme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alpha val="70000"/>
                                  </a:scheme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376"/>
                                <a:ext cx="8940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olo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BEBABF9" w14:textId="4BD421B4" w:rsidR="0019583A" w:rsidRDefault="0019583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Rapporto 1° semestre 2018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ottotitolo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B313A9D" w14:textId="77777777" w:rsidR="0019583A" w:rsidRDefault="0019583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725D48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Dati sui volumi di negoziazione delle Associate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i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alias w:val="Autore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AA253A0" w14:textId="77777777" w:rsidR="0019583A" w:rsidRPr="00682F87" w:rsidRDefault="0019583A" w:rsidP="00EE20F8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color w:val="548DD4" w:themeColor="text2" w:themeTint="99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682F87">
                                        <w:rPr>
                                          <w:b/>
                                          <w:bCs/>
                                          <w:i/>
                                          <w:color w:val="4F81BD" w:themeColor="accent1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Area Compliance, Markets &amp; Operations</w:t>
                                      </w:r>
                                    </w:p>
                                  </w:sdtContent>
                                </w:sdt>
                                <w:p w14:paraId="406F22FA" w14:textId="3BEC4B39" w:rsidR="0019583A" w:rsidRPr="00BF3A5C" w:rsidRDefault="0019583A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="00367F9F"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LUGLIO </w:t>
                                  </w:r>
                                  <w:r w:rsidRPr="00BF3A5C"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6C6445" id="Gruppo 3" o:spid="_x0000_s1026" style="position:absolute;margin-left:-7.5pt;margin-top:46.45pt;width:611.6pt;height:601.15pt;z-index:251659264;mso-position-horizontal-relative:page;mso-position-vertical-relative:margin;mso-height-relative:margin" coordorigin=",2376" coordsize="12232,1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" o:allowincell="f">
                    <v:group id="Group 4" o:spid="_x0000_s1027" style="position:absolute;top:9661;width:12232;height:4738" coordorigin="-6,3399" coordsize="12189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" path="m,l,3550,1591,2746r,-2009l,xe" fillcolor="#17365d [2415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10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5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" path="m,l17,3835,6011,2629r,-1390l,xe" fillcolor="#17365d [2415]" stroked="f">
                        <v:fill opacity="46003f"/>
                        <v:path arrowok="t" o:connecttype="custom" o:connectlocs="0,0;17,3835;6011,2629;6011,1239;0,0" o:connectangles="0,0,0,0,0"/>
                      </v:shape>
                    </v:group>
                    <v:rect id="Rectangle 17" o:spid="_x0000_s1036" style="position:absolute;left:1800;top:2376;width:8940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olo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BEBABF9" w14:textId="4BD421B4" w:rsidR="0019583A" w:rsidRDefault="0019583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Rapporto 1° semestre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ottotitolo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B313A9D" w14:textId="77777777" w:rsidR="0019583A" w:rsidRDefault="0019583A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725D48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Dati sui volumi di negoziazione delle Associate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alias w:val="Autore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AA253A0" w14:textId="77777777" w:rsidR="0019583A" w:rsidRPr="00682F87" w:rsidRDefault="0019583A" w:rsidP="00EE20F8">
                                <w:pPr>
                                  <w:rPr>
                                    <w:b/>
                                    <w:bCs/>
                                    <w:i/>
                                    <w:color w:val="548DD4" w:themeColor="text2" w:themeTint="99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682F87">
                                  <w:rPr>
                                    <w:b/>
                                    <w:bCs/>
                                    <w:i/>
                                    <w:color w:val="4F81BD" w:themeColor="accent1"/>
                                    <w:sz w:val="32"/>
                                    <w:szCs w:val="32"/>
                                    <w:lang w:val="en-US"/>
                                  </w:rPr>
                                  <w:t>Area Compliance, Markets &amp; Operations</w:t>
                                </w:r>
                              </w:p>
                            </w:sdtContent>
                          </w:sdt>
                          <w:p w14:paraId="406F22FA" w14:textId="3BEC4B39" w:rsidR="0019583A" w:rsidRPr="00BF3A5C" w:rsidRDefault="0019583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367F9F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t xml:space="preserve"> LUGLIO </w:t>
                            </w:r>
                            <w:r w:rsidRPr="00BF3A5C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br w:type="page"/>
          </w:r>
        </w:p>
      </w:sdtContent>
    </w:sdt>
    <w:p w14:paraId="3D251120" w14:textId="77777777" w:rsidR="000901A4" w:rsidRPr="000901A4" w:rsidRDefault="000901A4" w:rsidP="00F85D74">
      <w:pPr>
        <w:spacing w:after="0"/>
        <w:jc w:val="center"/>
        <w:rPr>
          <w:rFonts w:eastAsia="Times New Roman" w:cs="Times New Roman"/>
          <w:color w:val="4F81BD" w:themeColor="accent1"/>
          <w:sz w:val="32"/>
          <w:szCs w:val="32"/>
          <w:lang w:eastAsia="it-IT"/>
        </w:rPr>
      </w:pPr>
    </w:p>
    <w:p w14:paraId="029DA26C" w14:textId="3476659D" w:rsidR="00F85D74" w:rsidRPr="00F85D74" w:rsidRDefault="00F85D74" w:rsidP="00F85D74">
      <w:pPr>
        <w:spacing w:after="0"/>
        <w:jc w:val="center"/>
        <w:rPr>
          <w:rFonts w:eastAsia="Times New Roman" w:cs="Times New Roman"/>
          <w:b/>
          <w:color w:val="4F81BD" w:themeColor="accent1"/>
          <w:sz w:val="32"/>
          <w:szCs w:val="32"/>
          <w:lang w:eastAsia="it-IT"/>
        </w:rPr>
      </w:pPr>
      <w:r w:rsidRPr="00F85D74">
        <w:rPr>
          <w:rFonts w:eastAsia="Times New Roman" w:cs="Times New Roman"/>
          <w:b/>
          <w:color w:val="4F81BD" w:themeColor="accent1"/>
          <w:sz w:val="32"/>
          <w:szCs w:val="32"/>
          <w:lang w:eastAsia="it-IT"/>
        </w:rPr>
        <w:t>COMUNICATO STAMPA</w:t>
      </w:r>
    </w:p>
    <w:p w14:paraId="746CB54A" w14:textId="77777777" w:rsidR="00F85D74" w:rsidRPr="00F85D74" w:rsidRDefault="00F85D74" w:rsidP="00F85D74">
      <w:pPr>
        <w:spacing w:after="0"/>
        <w:jc w:val="center"/>
        <w:rPr>
          <w:rFonts w:eastAsia="Times New Roman" w:cs="Times New Roman"/>
          <w:b/>
          <w:color w:val="4F81BD" w:themeColor="accent1"/>
          <w:lang w:eastAsia="it-IT"/>
        </w:rPr>
      </w:pPr>
    </w:p>
    <w:p w14:paraId="0973D099" w14:textId="401099D2" w:rsidR="00F85D74" w:rsidRDefault="00F85D74" w:rsidP="00F85D74">
      <w:pPr>
        <w:spacing w:after="0"/>
        <w:jc w:val="center"/>
        <w:rPr>
          <w:rFonts w:eastAsia="Times New Roman" w:cs="Times New Roman"/>
          <w:b/>
          <w:color w:val="4F81BD" w:themeColor="accent1"/>
          <w:lang w:eastAsia="it-IT"/>
        </w:rPr>
      </w:pPr>
      <w:r w:rsidRPr="00F85D74">
        <w:rPr>
          <w:rFonts w:eastAsia="Times New Roman" w:cs="Times New Roman"/>
          <w:b/>
          <w:color w:val="4F81BD" w:themeColor="accent1"/>
          <w:lang w:eastAsia="it-IT"/>
        </w:rPr>
        <w:t xml:space="preserve">RAPPORTO </w:t>
      </w:r>
      <w:r w:rsidR="00301608">
        <w:rPr>
          <w:rFonts w:eastAsia="Times New Roman" w:cs="Times New Roman"/>
          <w:b/>
          <w:color w:val="4F81BD" w:themeColor="accent1"/>
          <w:lang w:eastAsia="it-IT"/>
        </w:rPr>
        <w:t xml:space="preserve">ASSOSIM </w:t>
      </w:r>
      <w:r w:rsidR="00A635A4">
        <w:rPr>
          <w:rFonts w:eastAsia="Times New Roman" w:cs="Times New Roman"/>
          <w:b/>
          <w:color w:val="4F81BD" w:themeColor="accent1"/>
          <w:lang w:eastAsia="it-IT"/>
        </w:rPr>
        <w:t>1° SEMESTRE</w:t>
      </w:r>
      <w:r w:rsidR="00020001">
        <w:rPr>
          <w:rFonts w:eastAsia="Times New Roman" w:cs="Times New Roman"/>
          <w:b/>
          <w:color w:val="4F81BD" w:themeColor="accent1"/>
          <w:lang w:eastAsia="it-IT"/>
        </w:rPr>
        <w:t xml:space="preserve"> </w:t>
      </w:r>
      <w:r w:rsidRPr="00F85D74">
        <w:rPr>
          <w:rFonts w:eastAsia="Times New Roman" w:cs="Times New Roman"/>
          <w:b/>
          <w:color w:val="4F81BD" w:themeColor="accent1"/>
          <w:lang w:eastAsia="it-IT"/>
        </w:rPr>
        <w:t>201</w:t>
      </w:r>
      <w:r w:rsidR="00A635A4">
        <w:rPr>
          <w:rFonts w:eastAsia="Times New Roman" w:cs="Times New Roman"/>
          <w:b/>
          <w:color w:val="4F81BD" w:themeColor="accent1"/>
          <w:lang w:eastAsia="it-IT"/>
        </w:rPr>
        <w:t>8</w:t>
      </w:r>
    </w:p>
    <w:p w14:paraId="5EAC8F60" w14:textId="55F8B7E7" w:rsidR="005E65C3" w:rsidRPr="008B07C8" w:rsidRDefault="005E65C3" w:rsidP="008B07C8">
      <w:pPr>
        <w:spacing w:after="0" w:line="240" w:lineRule="auto"/>
        <w:jc w:val="center"/>
        <w:rPr>
          <w:rFonts w:eastAsia="Times New Roman" w:cs="Times New Roman"/>
          <w:lang w:eastAsia="it-IT"/>
        </w:rPr>
      </w:pPr>
    </w:p>
    <w:p w14:paraId="1D054C30" w14:textId="77777777" w:rsidR="005E65C3" w:rsidRPr="008B07C8" w:rsidRDefault="005E65C3" w:rsidP="008B07C8">
      <w:pPr>
        <w:spacing w:after="0" w:line="240" w:lineRule="auto"/>
        <w:jc w:val="center"/>
        <w:rPr>
          <w:rFonts w:eastAsia="Times New Roman" w:cs="Times New Roman"/>
          <w:highlight w:val="yellow"/>
          <w:lang w:eastAsia="it-IT"/>
        </w:rPr>
      </w:pPr>
    </w:p>
    <w:p w14:paraId="34026BCB" w14:textId="48C87A35" w:rsidR="00BD7891" w:rsidRPr="00834422" w:rsidRDefault="00CF6093" w:rsidP="00BD789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E048AA">
        <w:rPr>
          <w:rFonts w:eastAsia="Times New Roman" w:cs="Times New Roman"/>
          <w:b/>
          <w:lang w:eastAsia="it-IT"/>
        </w:rPr>
        <w:t>Chiusura negativa</w:t>
      </w:r>
      <w:r w:rsidR="00BD7891" w:rsidRPr="00E048AA">
        <w:rPr>
          <w:rFonts w:eastAsia="Times New Roman" w:cs="Times New Roman"/>
          <w:b/>
          <w:lang w:eastAsia="it-IT"/>
        </w:rPr>
        <w:t xml:space="preserve"> dei principali indici</w:t>
      </w:r>
      <w:r w:rsidR="00BD7891" w:rsidRPr="00834422">
        <w:rPr>
          <w:rFonts w:eastAsia="Times New Roman" w:cs="Times New Roman"/>
          <w:lang w:eastAsia="it-IT"/>
        </w:rPr>
        <w:t>: FTSE Italia Mib Storico (</w:t>
      </w:r>
      <w:r w:rsidRPr="00834422">
        <w:rPr>
          <w:rFonts w:eastAsia="Times New Roman" w:cs="Times New Roman"/>
          <w:lang w:eastAsia="it-IT"/>
        </w:rPr>
        <w:t>-0</w:t>
      </w:r>
      <w:r w:rsidR="00BD7891" w:rsidRPr="00834422">
        <w:rPr>
          <w:rFonts w:eastAsia="Times New Roman" w:cs="Times New Roman"/>
          <w:lang w:eastAsia="it-IT"/>
        </w:rPr>
        <w:t>,</w:t>
      </w:r>
      <w:r w:rsidRPr="00834422">
        <w:rPr>
          <w:rFonts w:eastAsia="Times New Roman" w:cs="Times New Roman"/>
          <w:lang w:eastAsia="it-IT"/>
        </w:rPr>
        <w:t>90</w:t>
      </w:r>
      <w:r w:rsidR="00BD7891" w:rsidRPr="00834422">
        <w:rPr>
          <w:rFonts w:eastAsia="Times New Roman" w:cs="Times New Roman"/>
          <w:lang w:eastAsia="it-IT"/>
        </w:rPr>
        <w:t>%)</w:t>
      </w:r>
      <w:r w:rsidR="00933E83">
        <w:rPr>
          <w:rFonts w:eastAsia="Times New Roman" w:cs="Times New Roman"/>
          <w:lang w:eastAsia="it-IT"/>
        </w:rPr>
        <w:t xml:space="preserve"> e</w:t>
      </w:r>
      <w:r w:rsidR="00BD7891" w:rsidRPr="00834422">
        <w:rPr>
          <w:rFonts w:eastAsia="Times New Roman" w:cs="Times New Roman"/>
          <w:lang w:eastAsia="it-IT"/>
        </w:rPr>
        <w:t xml:space="preserve"> FTSE Mib (</w:t>
      </w:r>
      <w:r w:rsidRPr="00834422">
        <w:rPr>
          <w:rFonts w:eastAsia="Times New Roman" w:cs="Times New Roman"/>
          <w:lang w:eastAsia="it-IT"/>
        </w:rPr>
        <w:t>-1</w:t>
      </w:r>
      <w:r w:rsidR="00BD7891" w:rsidRPr="00834422">
        <w:rPr>
          <w:rFonts w:eastAsia="Times New Roman" w:cs="Times New Roman"/>
          <w:lang w:eastAsia="it-IT"/>
        </w:rPr>
        <w:t>,</w:t>
      </w:r>
      <w:r w:rsidRPr="00834422">
        <w:rPr>
          <w:rFonts w:eastAsia="Times New Roman" w:cs="Times New Roman"/>
          <w:lang w:eastAsia="it-IT"/>
        </w:rPr>
        <w:t>00</w:t>
      </w:r>
      <w:r w:rsidR="00BD7891" w:rsidRPr="00834422">
        <w:rPr>
          <w:rFonts w:eastAsia="Times New Roman" w:cs="Times New Roman"/>
          <w:lang w:eastAsia="it-IT"/>
        </w:rPr>
        <w:t>%)</w:t>
      </w:r>
      <w:r w:rsidRPr="00834422">
        <w:rPr>
          <w:rFonts w:eastAsia="Times New Roman" w:cs="Times New Roman"/>
          <w:lang w:eastAsia="it-IT"/>
        </w:rPr>
        <w:t xml:space="preserve">. In controtendenza il </w:t>
      </w:r>
      <w:r w:rsidR="00BD7891" w:rsidRPr="00834422">
        <w:rPr>
          <w:rFonts w:eastAsia="Times New Roman" w:cs="Times New Roman"/>
          <w:lang w:eastAsia="it-IT"/>
        </w:rPr>
        <w:t>FTSE Italia Star</w:t>
      </w:r>
      <w:r w:rsidR="0019583A">
        <w:rPr>
          <w:rFonts w:eastAsia="Times New Roman" w:cs="Times New Roman"/>
          <w:lang w:eastAsia="it-IT"/>
        </w:rPr>
        <w:t>,</w:t>
      </w:r>
      <w:r w:rsidR="00BD7891" w:rsidRPr="00834422">
        <w:rPr>
          <w:rFonts w:eastAsia="Times New Roman" w:cs="Times New Roman"/>
          <w:lang w:eastAsia="it-IT"/>
        </w:rPr>
        <w:t xml:space="preserve"> </w:t>
      </w:r>
      <w:r w:rsidRPr="00834422">
        <w:rPr>
          <w:rFonts w:eastAsia="Times New Roman" w:cs="Times New Roman"/>
          <w:lang w:eastAsia="it-IT"/>
        </w:rPr>
        <w:t xml:space="preserve">che chiude il semestre con un lieve </w:t>
      </w:r>
      <w:r w:rsidR="00470564">
        <w:rPr>
          <w:rFonts w:eastAsia="Times New Roman" w:cs="Times New Roman"/>
          <w:lang w:eastAsia="it-IT"/>
        </w:rPr>
        <w:t>rialzo</w:t>
      </w:r>
      <w:r w:rsidRPr="00834422">
        <w:rPr>
          <w:rFonts w:eastAsia="Times New Roman" w:cs="Times New Roman"/>
          <w:lang w:eastAsia="it-IT"/>
        </w:rPr>
        <w:t xml:space="preserve"> </w:t>
      </w:r>
      <w:r w:rsidR="00BD7891" w:rsidRPr="00834422">
        <w:rPr>
          <w:rFonts w:eastAsia="Times New Roman" w:cs="Times New Roman"/>
          <w:lang w:eastAsia="it-IT"/>
        </w:rPr>
        <w:t>(</w:t>
      </w:r>
      <w:r w:rsidRPr="00834422">
        <w:rPr>
          <w:rFonts w:eastAsia="Times New Roman" w:cs="Times New Roman"/>
          <w:lang w:eastAsia="it-IT"/>
        </w:rPr>
        <w:t>+0</w:t>
      </w:r>
      <w:r w:rsidR="00BD7891" w:rsidRPr="00834422">
        <w:rPr>
          <w:rFonts w:eastAsia="Times New Roman" w:cs="Times New Roman"/>
          <w:lang w:eastAsia="it-IT"/>
        </w:rPr>
        <w:t>,</w:t>
      </w:r>
      <w:r w:rsidRPr="00834422">
        <w:rPr>
          <w:rFonts w:eastAsia="Times New Roman" w:cs="Times New Roman"/>
          <w:lang w:eastAsia="it-IT"/>
        </w:rPr>
        <w:t>50</w:t>
      </w:r>
      <w:r w:rsidR="00111AF7" w:rsidRPr="00834422">
        <w:rPr>
          <w:rFonts w:eastAsia="Times New Roman" w:cs="Times New Roman"/>
          <w:lang w:eastAsia="it-IT"/>
        </w:rPr>
        <w:t>%</w:t>
      </w:r>
      <w:r w:rsidR="00BD7891" w:rsidRPr="00834422">
        <w:rPr>
          <w:rFonts w:eastAsia="Times New Roman" w:cs="Times New Roman"/>
          <w:lang w:eastAsia="it-IT"/>
        </w:rPr>
        <w:t xml:space="preserve">). </w:t>
      </w:r>
      <w:r w:rsidRPr="00834422">
        <w:rPr>
          <w:rFonts w:eastAsia="Times New Roman" w:cs="Times New Roman"/>
          <w:lang w:eastAsia="it-IT"/>
        </w:rPr>
        <w:t xml:space="preserve">Dopo un promettente inizio </w:t>
      </w:r>
      <w:r w:rsidR="008E0392">
        <w:rPr>
          <w:rFonts w:eastAsia="Times New Roman" w:cs="Times New Roman"/>
          <w:lang w:eastAsia="it-IT"/>
        </w:rPr>
        <w:t xml:space="preserve">di </w:t>
      </w:r>
      <w:r w:rsidRPr="00834422">
        <w:rPr>
          <w:rFonts w:eastAsia="Times New Roman" w:cs="Times New Roman"/>
          <w:lang w:eastAsia="it-IT"/>
        </w:rPr>
        <w:t>anno</w:t>
      </w:r>
      <w:r w:rsidR="00834422" w:rsidRPr="00834422">
        <w:rPr>
          <w:rFonts w:eastAsia="Times New Roman" w:cs="Times New Roman"/>
          <w:lang w:eastAsia="it-IT"/>
        </w:rPr>
        <w:t>,</w:t>
      </w:r>
      <w:r w:rsidRPr="00834422">
        <w:rPr>
          <w:rFonts w:eastAsia="Times New Roman" w:cs="Times New Roman"/>
          <w:lang w:eastAsia="it-IT"/>
        </w:rPr>
        <w:t xml:space="preserve"> l</w:t>
      </w:r>
      <w:r w:rsidR="0019583A">
        <w:rPr>
          <w:rFonts w:eastAsia="Times New Roman" w:cs="Times New Roman"/>
          <w:lang w:eastAsia="it-IT"/>
        </w:rPr>
        <w:t xml:space="preserve">a </w:t>
      </w:r>
      <w:r w:rsidR="00834422" w:rsidRPr="00834422">
        <w:rPr>
          <w:rFonts w:eastAsia="Times New Roman" w:cs="Times New Roman"/>
          <w:lang w:eastAsia="it-IT"/>
        </w:rPr>
        <w:t>guerra commerciale</w:t>
      </w:r>
      <w:r w:rsidR="0019583A">
        <w:rPr>
          <w:rFonts w:eastAsia="Times New Roman" w:cs="Times New Roman"/>
          <w:lang w:eastAsia="it-IT"/>
        </w:rPr>
        <w:t xml:space="preserve"> in atto</w:t>
      </w:r>
      <w:r w:rsidR="00834422" w:rsidRPr="00834422">
        <w:rPr>
          <w:rFonts w:eastAsia="Times New Roman" w:cs="Times New Roman"/>
          <w:lang w:eastAsia="it-IT"/>
        </w:rPr>
        <w:t xml:space="preserve"> tra USA e Cina</w:t>
      </w:r>
      <w:r w:rsidR="0019583A">
        <w:rPr>
          <w:rFonts w:eastAsia="Times New Roman" w:cs="Times New Roman"/>
          <w:lang w:eastAsia="it-IT"/>
        </w:rPr>
        <w:t xml:space="preserve">, </w:t>
      </w:r>
      <w:r w:rsidR="00834422" w:rsidRPr="00834422">
        <w:rPr>
          <w:rFonts w:eastAsia="Times New Roman" w:cs="Times New Roman"/>
          <w:lang w:eastAsia="it-IT"/>
        </w:rPr>
        <w:t xml:space="preserve">l’esito delle elezioni </w:t>
      </w:r>
      <w:r w:rsidR="0084673E">
        <w:rPr>
          <w:rFonts w:eastAsia="Times New Roman" w:cs="Times New Roman"/>
          <w:lang w:eastAsia="it-IT"/>
        </w:rPr>
        <w:t xml:space="preserve">italiane </w:t>
      </w:r>
      <w:r w:rsidR="00834422">
        <w:rPr>
          <w:rFonts w:eastAsia="Times New Roman" w:cs="Times New Roman"/>
          <w:lang w:eastAsia="it-IT"/>
        </w:rPr>
        <w:t xml:space="preserve">del 4 marzo </w:t>
      </w:r>
      <w:r w:rsidR="0019583A">
        <w:rPr>
          <w:rFonts w:eastAsia="Times New Roman" w:cs="Times New Roman"/>
          <w:lang w:eastAsia="it-IT"/>
        </w:rPr>
        <w:t xml:space="preserve">e l’incertezza del programma di Governo </w:t>
      </w:r>
      <w:r w:rsidR="00834422" w:rsidRPr="00834422">
        <w:rPr>
          <w:rFonts w:eastAsia="Times New Roman" w:cs="Times New Roman"/>
          <w:lang w:eastAsia="it-IT"/>
        </w:rPr>
        <w:t>hanno pes</w:t>
      </w:r>
      <w:r w:rsidR="00FE0F1B">
        <w:rPr>
          <w:rFonts w:eastAsia="Times New Roman" w:cs="Times New Roman"/>
          <w:lang w:eastAsia="it-IT"/>
        </w:rPr>
        <w:t>ato</w:t>
      </w:r>
      <w:r w:rsidR="00834422" w:rsidRPr="00834422">
        <w:rPr>
          <w:rFonts w:eastAsia="Times New Roman" w:cs="Times New Roman"/>
          <w:lang w:eastAsia="it-IT"/>
        </w:rPr>
        <w:t xml:space="preserve"> sui listini azionari</w:t>
      </w:r>
      <w:r w:rsidR="008D4D08">
        <w:rPr>
          <w:rFonts w:eastAsia="Times New Roman" w:cs="Times New Roman"/>
          <w:lang w:eastAsia="it-IT"/>
        </w:rPr>
        <w:t>.</w:t>
      </w:r>
    </w:p>
    <w:p w14:paraId="071BBC1F" w14:textId="77777777" w:rsidR="00BD7891" w:rsidRPr="000A7988" w:rsidRDefault="00BD7891" w:rsidP="00DF7816">
      <w:pPr>
        <w:spacing w:after="0" w:line="240" w:lineRule="auto"/>
        <w:jc w:val="both"/>
        <w:rPr>
          <w:rFonts w:eastAsia="Times New Roman" w:cs="Times New Roman"/>
          <w:highlight w:val="yellow"/>
          <w:lang w:eastAsia="it-IT"/>
        </w:rPr>
      </w:pPr>
    </w:p>
    <w:p w14:paraId="5FBEA5CC" w14:textId="5AF185EC" w:rsidR="008D4D08" w:rsidRPr="008E0392" w:rsidRDefault="004D75E8" w:rsidP="0019583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8E0392">
        <w:rPr>
          <w:rFonts w:eastAsia="Times New Roman" w:cs="Times New Roman"/>
          <w:lang w:eastAsia="it-IT"/>
        </w:rPr>
        <w:t xml:space="preserve">I citati fattori </w:t>
      </w:r>
      <w:r w:rsidR="00FE0F1B" w:rsidRPr="008E0392">
        <w:rPr>
          <w:rFonts w:eastAsia="Times New Roman" w:cs="Times New Roman"/>
          <w:lang w:eastAsia="it-IT"/>
        </w:rPr>
        <w:t xml:space="preserve">hanno influito </w:t>
      </w:r>
      <w:r w:rsidR="008D4D08" w:rsidRPr="008E0392">
        <w:rPr>
          <w:rFonts w:eastAsia="Times New Roman" w:cs="Times New Roman"/>
          <w:lang w:eastAsia="it-IT"/>
        </w:rPr>
        <w:t xml:space="preserve">anche </w:t>
      </w:r>
      <w:r w:rsidR="00FE0F1B" w:rsidRPr="008E0392">
        <w:rPr>
          <w:rFonts w:eastAsia="Times New Roman" w:cs="Times New Roman"/>
          <w:lang w:eastAsia="it-IT"/>
        </w:rPr>
        <w:t xml:space="preserve">sulla </w:t>
      </w:r>
      <w:r w:rsidR="00FE0F1B" w:rsidRPr="00E048AA">
        <w:rPr>
          <w:rFonts w:eastAsia="Times New Roman" w:cs="Times New Roman"/>
          <w:b/>
          <w:lang w:eastAsia="it-IT"/>
        </w:rPr>
        <w:t xml:space="preserve">volatilità dell’indice </w:t>
      </w:r>
      <w:r w:rsidR="0001552A" w:rsidRPr="00E048AA">
        <w:rPr>
          <w:rFonts w:eastAsia="Times New Roman" w:cs="Times New Roman"/>
          <w:b/>
          <w:lang w:eastAsia="it-IT"/>
        </w:rPr>
        <w:t>FTSE Mib</w:t>
      </w:r>
      <w:r w:rsidR="00FE0F1B" w:rsidRPr="008E0392">
        <w:rPr>
          <w:rFonts w:eastAsia="Times New Roman" w:cs="Times New Roman"/>
          <w:lang w:eastAsia="it-IT"/>
        </w:rPr>
        <w:t xml:space="preserve"> che</w:t>
      </w:r>
      <w:r w:rsidR="008D4D08" w:rsidRPr="008E0392">
        <w:rPr>
          <w:rFonts w:eastAsia="Times New Roman" w:cs="Times New Roman"/>
          <w:lang w:eastAsia="it-IT"/>
        </w:rPr>
        <w:t>,</w:t>
      </w:r>
      <w:r w:rsidR="00FE0F1B" w:rsidRPr="008E0392">
        <w:rPr>
          <w:rFonts w:eastAsia="Times New Roman" w:cs="Times New Roman"/>
          <w:lang w:eastAsia="it-IT"/>
        </w:rPr>
        <w:t xml:space="preserve"> a giugno 2018</w:t>
      </w:r>
      <w:r w:rsidR="008D4D08" w:rsidRPr="008E0392">
        <w:rPr>
          <w:rFonts w:eastAsia="Times New Roman" w:cs="Times New Roman"/>
          <w:lang w:eastAsia="it-IT"/>
        </w:rPr>
        <w:t>,</w:t>
      </w:r>
      <w:r w:rsidR="00FE0F1B" w:rsidRPr="008E0392">
        <w:rPr>
          <w:rFonts w:eastAsia="Times New Roman" w:cs="Times New Roman"/>
          <w:lang w:eastAsia="it-IT"/>
        </w:rPr>
        <w:t xml:space="preserve"> ha </w:t>
      </w:r>
      <w:r w:rsidRPr="008E0392">
        <w:rPr>
          <w:rFonts w:eastAsia="Times New Roman" w:cs="Times New Roman"/>
          <w:lang w:eastAsia="it-IT"/>
        </w:rPr>
        <w:t xml:space="preserve">raggiunto il </w:t>
      </w:r>
      <w:r w:rsidR="00FE0F1B" w:rsidRPr="008E0392">
        <w:rPr>
          <w:rFonts w:eastAsia="Times New Roman" w:cs="Times New Roman"/>
          <w:lang w:eastAsia="it-IT"/>
        </w:rPr>
        <w:t>21,10% rispetto al 14,10%</w:t>
      </w:r>
      <w:r w:rsidR="0001552A" w:rsidRPr="008E0392">
        <w:rPr>
          <w:rFonts w:eastAsia="Times New Roman" w:cs="Times New Roman"/>
          <w:lang w:eastAsia="it-IT"/>
        </w:rPr>
        <w:t xml:space="preserve"> </w:t>
      </w:r>
      <w:r w:rsidR="00FE0F1B" w:rsidRPr="008E0392">
        <w:rPr>
          <w:rFonts w:eastAsia="Times New Roman" w:cs="Times New Roman"/>
          <w:lang w:eastAsia="it-IT"/>
        </w:rPr>
        <w:t>di giugno 2017.</w:t>
      </w:r>
      <w:r w:rsidR="008E0392">
        <w:rPr>
          <w:rFonts w:eastAsia="Times New Roman" w:cs="Times New Roman"/>
          <w:lang w:eastAsia="it-IT"/>
        </w:rPr>
        <w:t xml:space="preserve"> </w:t>
      </w:r>
      <w:r w:rsidR="008D4D08" w:rsidRPr="008E0392">
        <w:rPr>
          <w:rFonts w:eastAsia="Times New Roman" w:cs="Times New Roman"/>
          <w:lang w:eastAsia="it-IT"/>
        </w:rPr>
        <w:t xml:space="preserve">Il mercato IDEM e il SEDEX </w:t>
      </w:r>
      <w:r w:rsidRPr="008E0392">
        <w:rPr>
          <w:rFonts w:eastAsia="Times New Roman" w:cs="Times New Roman"/>
          <w:lang w:eastAsia="it-IT"/>
        </w:rPr>
        <w:t>hanno</w:t>
      </w:r>
      <w:r w:rsidR="008E0392">
        <w:rPr>
          <w:rFonts w:eastAsia="Times New Roman" w:cs="Times New Roman"/>
          <w:lang w:eastAsia="it-IT"/>
        </w:rPr>
        <w:t xml:space="preserve"> ovviamente </w:t>
      </w:r>
      <w:r w:rsidR="008D4D08" w:rsidRPr="008E0392">
        <w:rPr>
          <w:rFonts w:eastAsia="Times New Roman" w:cs="Times New Roman"/>
          <w:lang w:eastAsia="it-IT"/>
        </w:rPr>
        <w:t>beneficia</w:t>
      </w:r>
      <w:r w:rsidRPr="008E0392">
        <w:rPr>
          <w:rFonts w:eastAsia="Times New Roman" w:cs="Times New Roman"/>
          <w:lang w:eastAsia="it-IT"/>
        </w:rPr>
        <w:t>t</w:t>
      </w:r>
      <w:r w:rsidR="008D4D08" w:rsidRPr="008E0392">
        <w:rPr>
          <w:rFonts w:eastAsia="Times New Roman" w:cs="Times New Roman"/>
          <w:lang w:eastAsia="it-IT"/>
        </w:rPr>
        <w:t>o d</w:t>
      </w:r>
      <w:r w:rsidR="008E0392">
        <w:rPr>
          <w:rFonts w:eastAsia="Times New Roman" w:cs="Times New Roman"/>
          <w:lang w:eastAsia="it-IT"/>
        </w:rPr>
        <w:t>i questa maggiore</w:t>
      </w:r>
      <w:r w:rsidR="00697986" w:rsidRPr="008E0392">
        <w:rPr>
          <w:rFonts w:eastAsia="Times New Roman" w:cs="Times New Roman"/>
          <w:lang w:eastAsia="it-IT"/>
        </w:rPr>
        <w:t xml:space="preserve"> </w:t>
      </w:r>
      <w:r w:rsidR="008D4D08" w:rsidRPr="008E0392">
        <w:rPr>
          <w:rFonts w:eastAsia="Times New Roman" w:cs="Times New Roman"/>
          <w:lang w:eastAsia="it-IT"/>
        </w:rPr>
        <w:t xml:space="preserve">volatilità chiudendo </w:t>
      </w:r>
      <w:r w:rsidRPr="008E0392">
        <w:rPr>
          <w:rFonts w:eastAsia="Times New Roman" w:cs="Times New Roman"/>
          <w:lang w:eastAsia="it-IT"/>
        </w:rPr>
        <w:t>il semestre con volumi in crescita.</w:t>
      </w:r>
      <w:r w:rsidR="008D4D08" w:rsidRPr="008E0392">
        <w:rPr>
          <w:rFonts w:eastAsia="Times New Roman" w:cs="Times New Roman"/>
          <w:lang w:eastAsia="it-IT"/>
        </w:rPr>
        <w:t xml:space="preserve"> </w:t>
      </w:r>
    </w:p>
    <w:p w14:paraId="21F78793" w14:textId="77777777" w:rsidR="00FF32A6" w:rsidRPr="00FF32A6" w:rsidRDefault="00FF32A6" w:rsidP="00FF32A6">
      <w:pPr>
        <w:spacing w:after="0" w:line="240" w:lineRule="auto"/>
        <w:jc w:val="both"/>
        <w:rPr>
          <w:rFonts w:eastAsia="Times New Roman" w:cs="Times New Roman"/>
          <w:highlight w:val="yellow"/>
          <w:lang w:eastAsia="it-IT"/>
        </w:rPr>
      </w:pPr>
    </w:p>
    <w:p w14:paraId="612FE181" w14:textId="3E54E03C" w:rsidR="009A2BE7" w:rsidRDefault="00FF32A6" w:rsidP="008D767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697986">
        <w:rPr>
          <w:rFonts w:eastAsia="Times New Roman" w:cs="Times New Roman"/>
          <w:lang w:eastAsia="it-IT"/>
        </w:rPr>
        <w:t xml:space="preserve">Situazione diametralmente opposta per i </w:t>
      </w:r>
      <w:r w:rsidRPr="00E048AA">
        <w:rPr>
          <w:rFonts w:eastAsia="Times New Roman" w:cs="Times New Roman"/>
          <w:b/>
          <w:lang w:eastAsia="it-IT"/>
        </w:rPr>
        <w:t>mercati obbligazionari</w:t>
      </w:r>
      <w:r w:rsidR="0019583A">
        <w:rPr>
          <w:rFonts w:eastAsia="Times New Roman" w:cs="Times New Roman"/>
          <w:lang w:eastAsia="it-IT"/>
        </w:rPr>
        <w:t>,</w:t>
      </w:r>
      <w:r w:rsidRPr="00697986">
        <w:rPr>
          <w:rFonts w:eastAsia="Times New Roman" w:cs="Times New Roman"/>
          <w:lang w:eastAsia="it-IT"/>
        </w:rPr>
        <w:t xml:space="preserve"> che </w:t>
      </w:r>
      <w:r w:rsidR="004D75E8">
        <w:rPr>
          <w:rFonts w:eastAsia="Times New Roman" w:cs="Times New Roman"/>
          <w:lang w:eastAsia="it-IT"/>
        </w:rPr>
        <w:t xml:space="preserve">hanno </w:t>
      </w:r>
      <w:r w:rsidRPr="00697986">
        <w:rPr>
          <w:rFonts w:eastAsia="Times New Roman" w:cs="Times New Roman"/>
          <w:lang w:eastAsia="it-IT"/>
        </w:rPr>
        <w:t>fa</w:t>
      </w:r>
      <w:r w:rsidR="004D75E8">
        <w:rPr>
          <w:rFonts w:eastAsia="Times New Roman" w:cs="Times New Roman"/>
          <w:lang w:eastAsia="it-IT"/>
        </w:rPr>
        <w:t>tt</w:t>
      </w:r>
      <w:r w:rsidRPr="00697986">
        <w:rPr>
          <w:rFonts w:eastAsia="Times New Roman" w:cs="Times New Roman"/>
          <w:lang w:eastAsia="it-IT"/>
        </w:rPr>
        <w:t>o registra</w:t>
      </w:r>
      <w:r w:rsidR="008E0392">
        <w:rPr>
          <w:rFonts w:eastAsia="Times New Roman" w:cs="Times New Roman"/>
          <w:lang w:eastAsia="it-IT"/>
        </w:rPr>
        <w:t>r</w:t>
      </w:r>
      <w:r w:rsidRPr="00697986">
        <w:rPr>
          <w:rFonts w:eastAsia="Times New Roman" w:cs="Times New Roman"/>
          <w:lang w:eastAsia="it-IT"/>
        </w:rPr>
        <w:t xml:space="preserve">e una </w:t>
      </w:r>
      <w:r w:rsidRPr="00E048AA">
        <w:rPr>
          <w:rFonts w:eastAsia="Times New Roman" w:cs="Times New Roman"/>
          <w:b/>
          <w:lang w:eastAsia="it-IT"/>
        </w:rPr>
        <w:t>contrazione diffusa</w:t>
      </w:r>
      <w:r w:rsidRPr="00697986">
        <w:rPr>
          <w:rFonts w:eastAsia="Times New Roman" w:cs="Times New Roman"/>
          <w:lang w:eastAsia="it-IT"/>
        </w:rPr>
        <w:t xml:space="preserve"> dei c</w:t>
      </w:r>
      <w:r w:rsidR="0078098E" w:rsidRPr="00697986">
        <w:rPr>
          <w:rFonts w:eastAsia="Times New Roman" w:cs="Times New Roman"/>
          <w:lang w:eastAsia="it-IT"/>
        </w:rPr>
        <w:t>ontrovalori</w:t>
      </w:r>
      <w:r w:rsidR="00DF7816" w:rsidRPr="00697986">
        <w:rPr>
          <w:rFonts w:eastAsia="Times New Roman" w:cs="Times New Roman"/>
          <w:lang w:eastAsia="it-IT"/>
        </w:rPr>
        <w:t xml:space="preserve"> </w:t>
      </w:r>
      <w:r w:rsidRPr="00697986">
        <w:rPr>
          <w:rFonts w:eastAsia="Times New Roman" w:cs="Times New Roman"/>
          <w:lang w:eastAsia="it-IT"/>
        </w:rPr>
        <w:t>negoziati</w:t>
      </w:r>
      <w:r w:rsidR="007A2C2A">
        <w:rPr>
          <w:rFonts w:eastAsia="Times New Roman" w:cs="Times New Roman"/>
          <w:lang w:eastAsia="it-IT"/>
        </w:rPr>
        <w:t xml:space="preserve"> </w:t>
      </w:r>
      <w:r w:rsidR="00D550AD">
        <w:rPr>
          <w:rFonts w:eastAsia="Times New Roman" w:cs="Times New Roman"/>
          <w:lang w:eastAsia="it-IT"/>
        </w:rPr>
        <w:t>(MOT -7</w:t>
      </w:r>
      <w:r w:rsidR="00D550AD" w:rsidRPr="00E01FC3">
        <w:rPr>
          <w:rFonts w:eastAsia="Times New Roman" w:cs="Times New Roman"/>
          <w:lang w:eastAsia="it-IT"/>
        </w:rPr>
        <w:t>,</w:t>
      </w:r>
      <w:r w:rsidR="00D550AD">
        <w:rPr>
          <w:rFonts w:eastAsia="Times New Roman" w:cs="Times New Roman"/>
          <w:lang w:eastAsia="it-IT"/>
        </w:rPr>
        <w:t>1</w:t>
      </w:r>
      <w:r w:rsidR="00E74A81">
        <w:rPr>
          <w:rFonts w:eastAsia="Times New Roman" w:cs="Times New Roman"/>
          <w:lang w:eastAsia="it-IT"/>
        </w:rPr>
        <w:t>5</w:t>
      </w:r>
      <w:r w:rsidR="00D550AD" w:rsidRPr="00E01FC3">
        <w:rPr>
          <w:rFonts w:eastAsia="Times New Roman" w:cs="Times New Roman"/>
          <w:lang w:eastAsia="it-IT"/>
        </w:rPr>
        <w:t>%</w:t>
      </w:r>
      <w:r w:rsidR="00D550AD">
        <w:rPr>
          <w:rFonts w:eastAsia="Times New Roman" w:cs="Times New Roman"/>
          <w:lang w:eastAsia="it-IT"/>
        </w:rPr>
        <w:t xml:space="preserve">, EuroTLX </w:t>
      </w:r>
      <w:r w:rsidR="00D550AD" w:rsidRPr="00C439EB">
        <w:rPr>
          <w:rFonts w:eastAsia="Times New Roman" w:cs="Times New Roman"/>
          <w:lang w:eastAsia="it-IT"/>
        </w:rPr>
        <w:t>-29,92%</w:t>
      </w:r>
      <w:r w:rsidR="00D550AD">
        <w:rPr>
          <w:rFonts w:eastAsia="Times New Roman" w:cs="Times New Roman"/>
          <w:lang w:eastAsia="it-IT"/>
        </w:rPr>
        <w:t>, HiMTF -</w:t>
      </w:r>
      <w:r w:rsidR="00D550AD" w:rsidRPr="00C439EB">
        <w:rPr>
          <w:rFonts w:eastAsia="Times New Roman" w:cs="Times New Roman"/>
          <w:lang w:eastAsia="it-IT"/>
        </w:rPr>
        <w:t>27,02%</w:t>
      </w:r>
      <w:r w:rsidR="00D550AD">
        <w:rPr>
          <w:rFonts w:eastAsia="Times New Roman" w:cs="Times New Roman"/>
          <w:lang w:eastAsia="it-IT"/>
        </w:rPr>
        <w:t>)</w:t>
      </w:r>
      <w:r w:rsidR="0019583A">
        <w:rPr>
          <w:rFonts w:eastAsia="Times New Roman" w:cs="Times New Roman"/>
          <w:lang w:eastAsia="it-IT"/>
        </w:rPr>
        <w:t xml:space="preserve"> a </w:t>
      </w:r>
      <w:r w:rsidRPr="00697986">
        <w:rPr>
          <w:rFonts w:eastAsia="Times New Roman" w:cs="Times New Roman"/>
          <w:lang w:eastAsia="it-IT"/>
        </w:rPr>
        <w:t xml:space="preserve">causa </w:t>
      </w:r>
      <w:r w:rsidR="0019583A">
        <w:rPr>
          <w:rFonts w:eastAsia="Times New Roman" w:cs="Times New Roman"/>
          <w:lang w:eastAsia="it-IT"/>
        </w:rPr>
        <w:t>d</w:t>
      </w:r>
      <w:r w:rsidR="004D75E8">
        <w:rPr>
          <w:rFonts w:eastAsia="Times New Roman" w:cs="Times New Roman"/>
          <w:lang w:eastAsia="it-IT"/>
        </w:rPr>
        <w:t>elle attese di rialzo dei tassi</w:t>
      </w:r>
      <w:r w:rsidR="00E048AA">
        <w:rPr>
          <w:rFonts w:eastAsia="Times New Roman" w:cs="Times New Roman"/>
          <w:lang w:eastAsia="it-IT"/>
        </w:rPr>
        <w:t xml:space="preserve"> e</w:t>
      </w:r>
      <w:r w:rsidR="008D767C" w:rsidRPr="00697986">
        <w:rPr>
          <w:rFonts w:eastAsia="Times New Roman" w:cs="Times New Roman"/>
          <w:lang w:eastAsia="it-IT"/>
        </w:rPr>
        <w:t xml:space="preserve"> </w:t>
      </w:r>
      <w:r w:rsidR="0019583A">
        <w:rPr>
          <w:rFonts w:eastAsia="Times New Roman" w:cs="Times New Roman"/>
          <w:lang w:eastAsia="it-IT"/>
        </w:rPr>
        <w:t>d</w:t>
      </w:r>
      <w:r w:rsidR="008D767C" w:rsidRPr="00697986">
        <w:rPr>
          <w:rFonts w:eastAsia="Times New Roman" w:cs="Times New Roman"/>
          <w:lang w:eastAsia="it-IT"/>
        </w:rPr>
        <w:t>ell’incertezza del perimetro di applicazione della normativa PRIIPs</w:t>
      </w:r>
      <w:r w:rsidR="00697986">
        <w:rPr>
          <w:rFonts w:eastAsia="Times New Roman" w:cs="Times New Roman"/>
          <w:lang w:eastAsia="it-IT"/>
        </w:rPr>
        <w:t xml:space="preserve"> </w:t>
      </w:r>
      <w:r w:rsidR="008D767C" w:rsidRPr="00697986">
        <w:rPr>
          <w:rFonts w:eastAsia="Times New Roman" w:cs="Times New Roman"/>
          <w:lang w:eastAsia="it-IT"/>
        </w:rPr>
        <w:t xml:space="preserve">entrata in vigore all’inizio del 2018. </w:t>
      </w:r>
      <w:r w:rsidR="00697986" w:rsidRPr="00697986">
        <w:rPr>
          <w:rFonts w:eastAsia="Times New Roman" w:cs="Times New Roman"/>
          <w:lang w:eastAsia="it-IT"/>
        </w:rPr>
        <w:t>I</w:t>
      </w:r>
      <w:r w:rsidR="008D767C" w:rsidRPr="00697986">
        <w:rPr>
          <w:rFonts w:eastAsia="Times New Roman" w:cs="Times New Roman"/>
          <w:lang w:eastAsia="it-IT"/>
        </w:rPr>
        <w:t xml:space="preserve">n mancanza di specifici indirizzi interpretativi delle </w:t>
      </w:r>
      <w:r w:rsidR="0019583A">
        <w:rPr>
          <w:rFonts w:eastAsia="Times New Roman" w:cs="Times New Roman"/>
          <w:lang w:eastAsia="it-IT"/>
        </w:rPr>
        <w:t>a</w:t>
      </w:r>
      <w:r w:rsidR="008D767C" w:rsidRPr="00697986">
        <w:rPr>
          <w:rFonts w:eastAsia="Times New Roman" w:cs="Times New Roman"/>
          <w:lang w:eastAsia="it-IT"/>
        </w:rPr>
        <w:t xml:space="preserve">utorità europee utili all’identificazione delle tipologie di strumenti soggetti alla normativa, il </w:t>
      </w:r>
      <w:r w:rsidR="005B6E3E">
        <w:rPr>
          <w:rFonts w:eastAsia="Times New Roman" w:cs="Times New Roman"/>
          <w:lang w:eastAsia="it-IT"/>
        </w:rPr>
        <w:t>“</w:t>
      </w:r>
      <w:r w:rsidR="008D767C" w:rsidRPr="00697986">
        <w:rPr>
          <w:rFonts w:eastAsia="Times New Roman" w:cs="Times New Roman"/>
          <w:lang w:eastAsia="it-IT"/>
        </w:rPr>
        <w:t>mercato</w:t>
      </w:r>
      <w:r w:rsidR="005B6E3E">
        <w:rPr>
          <w:rFonts w:eastAsia="Times New Roman" w:cs="Times New Roman"/>
          <w:lang w:eastAsia="it-IT"/>
        </w:rPr>
        <w:t>”</w:t>
      </w:r>
      <w:r w:rsidR="008D767C" w:rsidRPr="00697986">
        <w:rPr>
          <w:rFonts w:eastAsia="Times New Roman" w:cs="Times New Roman"/>
          <w:lang w:eastAsia="it-IT"/>
        </w:rPr>
        <w:t xml:space="preserve"> sta adottando un </w:t>
      </w:r>
      <w:r w:rsidR="008D767C" w:rsidRPr="00E048AA">
        <w:rPr>
          <w:rFonts w:eastAsia="Times New Roman" w:cs="Times New Roman"/>
          <w:b/>
          <w:lang w:eastAsia="it-IT"/>
        </w:rPr>
        <w:t>approccio sempre più restrittivo</w:t>
      </w:r>
      <w:r w:rsidR="0019583A">
        <w:rPr>
          <w:rFonts w:eastAsia="Times New Roman" w:cs="Times New Roman"/>
          <w:lang w:eastAsia="it-IT"/>
        </w:rPr>
        <w:t>,</w:t>
      </w:r>
      <w:r w:rsidR="004D75E8">
        <w:rPr>
          <w:rFonts w:eastAsia="Times New Roman" w:cs="Times New Roman"/>
          <w:lang w:eastAsia="it-IT"/>
        </w:rPr>
        <w:t xml:space="preserve"> con una crescita del numero di emissioni riservate alla clientela professionale</w:t>
      </w:r>
      <w:r w:rsidR="0046537A">
        <w:rPr>
          <w:rFonts w:eastAsia="Times New Roman" w:cs="Times New Roman"/>
          <w:lang w:eastAsia="it-IT"/>
        </w:rPr>
        <w:t>.</w:t>
      </w:r>
      <w:r w:rsidR="004D75E8">
        <w:rPr>
          <w:rFonts w:eastAsia="Times New Roman" w:cs="Times New Roman"/>
          <w:lang w:eastAsia="it-IT"/>
        </w:rPr>
        <w:t xml:space="preserve"> Ciò sta provocando conseguenze negative sulla liquidità dei mercati italiani</w:t>
      </w:r>
      <w:r w:rsidR="0019583A">
        <w:rPr>
          <w:rFonts w:eastAsia="Times New Roman" w:cs="Times New Roman"/>
          <w:lang w:eastAsia="it-IT"/>
        </w:rPr>
        <w:t>,</w:t>
      </w:r>
      <w:r w:rsidR="004D75E8">
        <w:rPr>
          <w:rFonts w:eastAsia="Times New Roman" w:cs="Times New Roman"/>
          <w:lang w:eastAsia="it-IT"/>
        </w:rPr>
        <w:t xml:space="preserve"> che sono tipicamente </w:t>
      </w:r>
      <w:r w:rsidR="004D75E8" w:rsidRPr="004D75E8">
        <w:rPr>
          <w:rFonts w:eastAsia="Times New Roman" w:cs="Times New Roman"/>
          <w:i/>
          <w:lang w:eastAsia="it-IT"/>
        </w:rPr>
        <w:t>retail</w:t>
      </w:r>
      <w:r w:rsidR="004D75E8">
        <w:rPr>
          <w:rFonts w:eastAsia="Times New Roman" w:cs="Times New Roman"/>
          <w:lang w:eastAsia="it-IT"/>
        </w:rPr>
        <w:t>.</w:t>
      </w:r>
    </w:p>
    <w:p w14:paraId="061038A8" w14:textId="77777777" w:rsidR="004D75E8" w:rsidRDefault="004D75E8" w:rsidP="004D75E8">
      <w:pPr>
        <w:pStyle w:val="Paragrafoelenco"/>
        <w:rPr>
          <w:rFonts w:eastAsia="Times New Roman" w:cs="Times New Roman"/>
          <w:lang w:eastAsia="it-IT"/>
        </w:rPr>
      </w:pPr>
    </w:p>
    <w:p w14:paraId="7758004B" w14:textId="54FC84BE" w:rsidR="004D75E8" w:rsidRPr="004D75E8" w:rsidRDefault="004D75E8" w:rsidP="008E0392">
      <w:pPr>
        <w:pStyle w:val="Paragrafoelenco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lang w:eastAsia="it-IT"/>
        </w:rPr>
      </w:pPr>
      <w:r w:rsidRPr="004D75E8">
        <w:rPr>
          <w:rFonts w:eastAsia="Times New Roman" w:cs="Times New Roman"/>
          <w:lang w:eastAsia="it-IT"/>
        </w:rPr>
        <w:t>Con l’entrata in vigore del nuovo regime MiFID2</w:t>
      </w:r>
      <w:r w:rsidR="00916DE7">
        <w:rPr>
          <w:rFonts w:eastAsia="Times New Roman" w:cs="Times New Roman"/>
          <w:lang w:eastAsia="it-IT"/>
        </w:rPr>
        <w:t>,</w:t>
      </w:r>
      <w:r w:rsidRPr="004D75E8">
        <w:rPr>
          <w:rFonts w:eastAsia="Times New Roman" w:cs="Times New Roman"/>
          <w:lang w:eastAsia="it-IT"/>
        </w:rPr>
        <w:t xml:space="preserve"> </w:t>
      </w:r>
      <w:r w:rsidR="0019583A">
        <w:rPr>
          <w:rFonts w:eastAsia="Times New Roman" w:cs="Times New Roman"/>
          <w:lang w:eastAsia="it-IT"/>
        </w:rPr>
        <w:t xml:space="preserve">il numero di </w:t>
      </w:r>
      <w:r w:rsidRPr="004D75E8">
        <w:rPr>
          <w:rFonts w:eastAsia="Times New Roman" w:cs="Times New Roman"/>
          <w:lang w:eastAsia="it-IT"/>
        </w:rPr>
        <w:t xml:space="preserve">intermediari che </w:t>
      </w:r>
      <w:r w:rsidR="0019583A">
        <w:rPr>
          <w:rFonts w:eastAsia="Times New Roman" w:cs="Times New Roman"/>
          <w:lang w:eastAsia="it-IT"/>
        </w:rPr>
        <w:t>hanno volontariamente aderito al regime dell’</w:t>
      </w:r>
      <w:r w:rsidR="0019583A" w:rsidRPr="00E048AA">
        <w:rPr>
          <w:rFonts w:eastAsia="Times New Roman" w:cs="Times New Roman"/>
          <w:b/>
          <w:lang w:eastAsia="it-IT"/>
        </w:rPr>
        <w:t>i</w:t>
      </w:r>
      <w:r w:rsidRPr="00E048AA">
        <w:rPr>
          <w:rFonts w:eastAsia="Times New Roman" w:cs="Times New Roman"/>
          <w:b/>
          <w:lang w:eastAsia="it-IT"/>
        </w:rPr>
        <w:t>nternalizza</w:t>
      </w:r>
      <w:r w:rsidR="0019583A" w:rsidRPr="00E048AA">
        <w:rPr>
          <w:rFonts w:eastAsia="Times New Roman" w:cs="Times New Roman"/>
          <w:b/>
          <w:lang w:eastAsia="it-IT"/>
        </w:rPr>
        <w:t>zione</w:t>
      </w:r>
      <w:r w:rsidRPr="00E048AA">
        <w:rPr>
          <w:rFonts w:eastAsia="Times New Roman" w:cs="Times New Roman"/>
          <w:b/>
          <w:lang w:eastAsia="it-IT"/>
        </w:rPr>
        <w:t xml:space="preserve"> </w:t>
      </w:r>
      <w:r w:rsidR="0019583A" w:rsidRPr="00E048AA">
        <w:rPr>
          <w:rFonts w:eastAsia="Times New Roman" w:cs="Times New Roman"/>
          <w:b/>
          <w:lang w:eastAsia="it-IT"/>
        </w:rPr>
        <w:t>s</w:t>
      </w:r>
      <w:r w:rsidRPr="00E048AA">
        <w:rPr>
          <w:rFonts w:eastAsia="Times New Roman" w:cs="Times New Roman"/>
          <w:b/>
          <w:lang w:eastAsia="it-IT"/>
        </w:rPr>
        <w:t>istematic</w:t>
      </w:r>
      <w:r w:rsidR="0019583A" w:rsidRPr="00E048AA">
        <w:rPr>
          <w:rFonts w:eastAsia="Times New Roman" w:cs="Times New Roman"/>
          <w:b/>
          <w:lang w:eastAsia="it-IT"/>
        </w:rPr>
        <w:t>a</w:t>
      </w:r>
      <w:r w:rsidR="00E048AA">
        <w:rPr>
          <w:rFonts w:eastAsia="Times New Roman" w:cs="Times New Roman"/>
          <w:lang w:eastAsia="it-IT"/>
        </w:rPr>
        <w:t xml:space="preserve"> (</w:t>
      </w:r>
      <w:r w:rsidR="00E048AA" w:rsidRPr="00E048AA">
        <w:rPr>
          <w:rFonts w:eastAsia="Times New Roman" w:cs="Times New Roman"/>
          <w:i/>
          <w:lang w:eastAsia="it-IT"/>
        </w:rPr>
        <w:t>opt-in</w:t>
      </w:r>
      <w:r w:rsidR="00E048AA">
        <w:rPr>
          <w:rFonts w:eastAsia="Times New Roman" w:cs="Times New Roman"/>
          <w:lang w:eastAsia="it-IT"/>
        </w:rPr>
        <w:t>)</w:t>
      </w:r>
      <w:r w:rsidR="0019583A">
        <w:rPr>
          <w:rFonts w:eastAsia="Times New Roman" w:cs="Times New Roman"/>
          <w:lang w:eastAsia="it-IT"/>
        </w:rPr>
        <w:t xml:space="preserve"> sono pari a 5. </w:t>
      </w:r>
      <w:r w:rsidR="008E0392">
        <w:rPr>
          <w:rFonts w:eastAsia="Times New Roman" w:cs="Times New Roman"/>
          <w:lang w:eastAsia="it-IT"/>
        </w:rPr>
        <w:t>S</w:t>
      </w:r>
      <w:r w:rsidRPr="004D75E8">
        <w:rPr>
          <w:rFonts w:eastAsia="Times New Roman" w:cs="Times New Roman"/>
          <w:lang w:eastAsia="it-IT"/>
        </w:rPr>
        <w:t xml:space="preserve">arà interessante </w:t>
      </w:r>
      <w:r w:rsidR="008E0392">
        <w:rPr>
          <w:rFonts w:eastAsia="Times New Roman" w:cs="Times New Roman"/>
          <w:lang w:eastAsia="it-IT"/>
        </w:rPr>
        <w:t xml:space="preserve">apprendere quanti </w:t>
      </w:r>
      <w:r w:rsidRPr="004D75E8">
        <w:rPr>
          <w:rFonts w:eastAsia="Times New Roman" w:cs="Times New Roman"/>
          <w:lang w:eastAsia="it-IT"/>
        </w:rPr>
        <w:t>intermediari ricadr</w:t>
      </w:r>
      <w:r>
        <w:rPr>
          <w:rFonts w:eastAsia="Times New Roman" w:cs="Times New Roman"/>
          <w:lang w:eastAsia="it-IT"/>
        </w:rPr>
        <w:t>anno</w:t>
      </w:r>
      <w:r w:rsidRPr="004D75E8">
        <w:rPr>
          <w:rFonts w:eastAsia="Times New Roman" w:cs="Times New Roman"/>
          <w:lang w:eastAsia="it-IT"/>
        </w:rPr>
        <w:t xml:space="preserve"> </w:t>
      </w:r>
      <w:r w:rsidR="00E048AA">
        <w:rPr>
          <w:rFonts w:eastAsia="Times New Roman" w:cs="Times New Roman"/>
          <w:lang w:eastAsia="it-IT"/>
        </w:rPr>
        <w:t xml:space="preserve">obbligatoriamente </w:t>
      </w:r>
      <w:r w:rsidRPr="004D75E8">
        <w:rPr>
          <w:rFonts w:eastAsia="Times New Roman" w:cs="Times New Roman"/>
          <w:lang w:eastAsia="it-IT"/>
        </w:rPr>
        <w:t xml:space="preserve">nel </w:t>
      </w:r>
      <w:r w:rsidR="00DB0B16">
        <w:rPr>
          <w:rFonts w:eastAsia="Times New Roman" w:cs="Times New Roman"/>
          <w:lang w:eastAsia="it-IT"/>
        </w:rPr>
        <w:t>regime dell’IS</w:t>
      </w:r>
      <w:r w:rsidR="008E0392">
        <w:rPr>
          <w:rFonts w:eastAsia="Times New Roman" w:cs="Times New Roman"/>
          <w:lang w:eastAsia="it-IT"/>
        </w:rPr>
        <w:t xml:space="preserve"> per effetto del superamento delle soglie di rilevanza </w:t>
      </w:r>
      <w:r w:rsidR="0019583A">
        <w:rPr>
          <w:rFonts w:eastAsia="Times New Roman" w:cs="Times New Roman"/>
          <w:lang w:eastAsia="it-IT"/>
        </w:rPr>
        <w:t xml:space="preserve">calcolate anche in base ai dati di prossima </w:t>
      </w:r>
      <w:r w:rsidR="008E0392">
        <w:rPr>
          <w:rFonts w:eastAsia="Times New Roman" w:cs="Times New Roman"/>
          <w:lang w:eastAsia="it-IT"/>
        </w:rPr>
        <w:t xml:space="preserve">pubblicazione da parte </w:t>
      </w:r>
      <w:r w:rsidR="006B7B9F">
        <w:rPr>
          <w:rFonts w:eastAsia="Times New Roman" w:cs="Times New Roman"/>
          <w:lang w:eastAsia="it-IT"/>
        </w:rPr>
        <w:t xml:space="preserve">di </w:t>
      </w:r>
      <w:r w:rsidR="008E0392">
        <w:rPr>
          <w:rFonts w:eastAsia="Times New Roman" w:cs="Times New Roman"/>
          <w:lang w:eastAsia="it-IT"/>
        </w:rPr>
        <w:t>ESMA.</w:t>
      </w:r>
    </w:p>
    <w:p w14:paraId="6C8EFD64" w14:textId="7EAB85DF" w:rsidR="007A2C2A" w:rsidRDefault="007A2C2A" w:rsidP="005E65C3">
      <w:pPr>
        <w:spacing w:after="0" w:line="240" w:lineRule="auto"/>
        <w:jc w:val="center"/>
        <w:rPr>
          <w:rFonts w:eastAsia="Times New Roman" w:cs="Times New Roman"/>
          <w:highlight w:val="yellow"/>
          <w:lang w:eastAsia="it-IT"/>
        </w:rPr>
      </w:pPr>
    </w:p>
    <w:p w14:paraId="153BC5BC" w14:textId="77777777" w:rsidR="008E0392" w:rsidRPr="009519A0" w:rsidRDefault="008E0392" w:rsidP="005E65C3">
      <w:pPr>
        <w:spacing w:after="0" w:line="240" w:lineRule="auto"/>
        <w:jc w:val="center"/>
        <w:rPr>
          <w:rFonts w:eastAsia="Times New Roman" w:cs="Times New Roman"/>
          <w:highlight w:val="yellow"/>
          <w:lang w:eastAsia="it-IT"/>
        </w:rPr>
      </w:pPr>
    </w:p>
    <w:p w14:paraId="62034B02" w14:textId="069C5F24" w:rsidR="005E65C3" w:rsidRPr="003470D4" w:rsidRDefault="005E65C3" w:rsidP="005E65C3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3470D4">
        <w:rPr>
          <w:rFonts w:eastAsia="Times New Roman" w:cs="Times New Roman"/>
          <w:b/>
          <w:lang w:eastAsia="it-IT"/>
        </w:rPr>
        <w:t xml:space="preserve">Milano, </w:t>
      </w:r>
      <w:r w:rsidR="002E735C">
        <w:rPr>
          <w:rFonts w:eastAsia="Times New Roman" w:cs="Times New Roman"/>
          <w:b/>
          <w:lang w:eastAsia="it-IT"/>
        </w:rPr>
        <w:t>1</w:t>
      </w:r>
      <w:r w:rsidR="00367F9F">
        <w:rPr>
          <w:rFonts w:eastAsia="Times New Roman" w:cs="Times New Roman"/>
          <w:b/>
          <w:lang w:eastAsia="it-IT"/>
        </w:rPr>
        <w:t>9</w:t>
      </w:r>
      <w:r w:rsidR="005E784D" w:rsidRPr="003470D4">
        <w:rPr>
          <w:rFonts w:eastAsia="Times New Roman" w:cs="Times New Roman"/>
          <w:b/>
          <w:lang w:eastAsia="it-IT"/>
        </w:rPr>
        <w:t xml:space="preserve"> </w:t>
      </w:r>
      <w:r w:rsidR="00A635A4">
        <w:rPr>
          <w:rFonts w:eastAsia="Times New Roman" w:cs="Times New Roman"/>
          <w:b/>
          <w:lang w:eastAsia="it-IT"/>
        </w:rPr>
        <w:t>luglio</w:t>
      </w:r>
      <w:r w:rsidR="003A4FFC" w:rsidRPr="003470D4">
        <w:rPr>
          <w:rFonts w:eastAsia="Times New Roman" w:cs="Times New Roman"/>
          <w:b/>
          <w:lang w:eastAsia="it-IT"/>
        </w:rPr>
        <w:t xml:space="preserve"> </w:t>
      </w:r>
      <w:r w:rsidRPr="003470D4">
        <w:rPr>
          <w:rFonts w:eastAsia="Times New Roman" w:cs="Times New Roman"/>
          <w:b/>
          <w:lang w:eastAsia="it-IT"/>
        </w:rPr>
        <w:t>201</w:t>
      </w:r>
      <w:r w:rsidR="003A4FFC" w:rsidRPr="003470D4">
        <w:rPr>
          <w:rFonts w:eastAsia="Times New Roman" w:cs="Times New Roman"/>
          <w:b/>
          <w:lang w:eastAsia="it-IT"/>
        </w:rPr>
        <w:t>8</w:t>
      </w:r>
      <w:r w:rsidRPr="003470D4">
        <w:rPr>
          <w:rFonts w:eastAsia="Times New Roman" w:cs="Times New Roman"/>
          <w:b/>
          <w:i/>
          <w:lang w:eastAsia="it-IT"/>
        </w:rPr>
        <w:t xml:space="preserve"> –</w:t>
      </w:r>
      <w:r w:rsidR="00495460" w:rsidRPr="003470D4">
        <w:rPr>
          <w:rFonts w:eastAsia="Times New Roman" w:cs="Times New Roman"/>
          <w:b/>
          <w:i/>
          <w:lang w:eastAsia="it-IT"/>
        </w:rPr>
        <w:t xml:space="preserve"> </w:t>
      </w:r>
      <w:r w:rsidR="00453F04" w:rsidRPr="003470D4">
        <w:rPr>
          <w:rFonts w:eastAsia="Times New Roman" w:cs="Times New Roman"/>
          <w:lang w:eastAsia="it-IT"/>
        </w:rPr>
        <w:t>L’</w:t>
      </w:r>
      <w:r w:rsidRPr="003470D4">
        <w:rPr>
          <w:rFonts w:eastAsia="Times New Roman" w:cs="Times New Roman"/>
          <w:lang w:eastAsia="it-IT"/>
        </w:rPr>
        <w:t>Associazione Intermediari M</w:t>
      </w:r>
      <w:r w:rsidR="00495460" w:rsidRPr="003470D4">
        <w:rPr>
          <w:rFonts w:eastAsia="Times New Roman" w:cs="Times New Roman"/>
          <w:lang w:eastAsia="it-IT"/>
        </w:rPr>
        <w:t>ercati Finanziari – ASSOSIM</w:t>
      </w:r>
      <w:r w:rsidRPr="003470D4">
        <w:rPr>
          <w:rFonts w:eastAsia="Times New Roman" w:cs="Times New Roman"/>
          <w:lang w:eastAsia="it-IT"/>
        </w:rPr>
        <w:t xml:space="preserve"> ha presentato oggi la tradizionale analisi sui dati </w:t>
      </w:r>
      <w:r w:rsidR="002E381E">
        <w:rPr>
          <w:rFonts w:eastAsia="Times New Roman" w:cs="Times New Roman"/>
          <w:lang w:eastAsia="it-IT"/>
        </w:rPr>
        <w:t xml:space="preserve">semestrali </w:t>
      </w:r>
      <w:r w:rsidR="000901A4" w:rsidRPr="003470D4">
        <w:rPr>
          <w:rFonts w:eastAsia="Times New Roman" w:cs="Times New Roman"/>
          <w:lang w:eastAsia="it-IT"/>
        </w:rPr>
        <w:t>relativi alle</w:t>
      </w:r>
      <w:r w:rsidRPr="003470D4">
        <w:rPr>
          <w:rFonts w:eastAsia="Times New Roman" w:cs="Times New Roman"/>
          <w:lang w:eastAsia="it-IT"/>
        </w:rPr>
        <w:t xml:space="preserve"> transazioni poste in essere dalle proprie Associate sui mercati gestiti da </w:t>
      </w:r>
      <w:r w:rsidRPr="003470D4">
        <w:rPr>
          <w:rFonts w:eastAsia="Times New Roman" w:cs="Times New Roman"/>
          <w:b/>
          <w:lang w:eastAsia="it-IT"/>
        </w:rPr>
        <w:t>BORSA ITALIANA S.p.A.</w:t>
      </w:r>
      <w:r w:rsidRPr="003470D4">
        <w:rPr>
          <w:rFonts w:eastAsia="Times New Roman" w:cs="Times New Roman"/>
          <w:lang w:eastAsia="it-IT"/>
        </w:rPr>
        <w:t xml:space="preserve">, </w:t>
      </w:r>
      <w:r w:rsidRPr="003470D4">
        <w:rPr>
          <w:rFonts w:eastAsia="Times New Roman" w:cs="Times New Roman"/>
          <w:b/>
          <w:lang w:eastAsia="it-IT"/>
        </w:rPr>
        <w:t>EUROTLX</w:t>
      </w:r>
      <w:r w:rsidRPr="003470D4">
        <w:rPr>
          <w:rFonts w:eastAsia="Times New Roman" w:cs="Times New Roman"/>
          <w:lang w:eastAsia="it-IT"/>
        </w:rPr>
        <w:t xml:space="preserve">, </w:t>
      </w:r>
      <w:r w:rsidRPr="003470D4">
        <w:rPr>
          <w:rFonts w:eastAsia="Times New Roman" w:cs="Times New Roman"/>
          <w:b/>
          <w:lang w:eastAsia="it-IT"/>
        </w:rPr>
        <w:t>HI-MTF</w:t>
      </w:r>
      <w:r w:rsidRPr="003470D4">
        <w:rPr>
          <w:rFonts w:eastAsia="Times New Roman" w:cs="Times New Roman"/>
          <w:lang w:eastAsia="it-IT"/>
        </w:rPr>
        <w:t>,</w:t>
      </w:r>
      <w:r w:rsidRPr="003470D4">
        <w:rPr>
          <w:rFonts w:eastAsia="Times New Roman" w:cs="Times New Roman"/>
          <w:b/>
          <w:lang w:eastAsia="it-IT"/>
        </w:rPr>
        <w:t xml:space="preserve"> EQUIDUCT</w:t>
      </w:r>
      <w:r w:rsidRPr="003470D4">
        <w:rPr>
          <w:rFonts w:eastAsia="Times New Roman" w:cs="Times New Roman"/>
          <w:lang w:eastAsia="it-IT"/>
        </w:rPr>
        <w:t xml:space="preserve"> e </w:t>
      </w:r>
      <w:r w:rsidR="005E784D" w:rsidRPr="003470D4">
        <w:rPr>
          <w:rFonts w:eastAsia="Times New Roman" w:cs="Times New Roman"/>
          <w:lang w:eastAsia="it-IT"/>
        </w:rPr>
        <w:t xml:space="preserve">da alcuni intermediari </w:t>
      </w:r>
      <w:r w:rsidRPr="003470D4">
        <w:rPr>
          <w:rFonts w:eastAsia="Times New Roman" w:cs="Times New Roman"/>
          <w:lang w:eastAsia="it-IT"/>
        </w:rPr>
        <w:t xml:space="preserve">nella veste di </w:t>
      </w:r>
      <w:r w:rsidRPr="003470D4">
        <w:rPr>
          <w:rFonts w:eastAsia="Times New Roman" w:cs="Times New Roman"/>
          <w:b/>
          <w:lang w:eastAsia="it-IT"/>
        </w:rPr>
        <w:t>Internalizzatori</w:t>
      </w:r>
      <w:r w:rsidR="00366245">
        <w:rPr>
          <w:rFonts w:eastAsia="Times New Roman" w:cs="Times New Roman"/>
          <w:b/>
          <w:lang w:eastAsia="it-IT"/>
        </w:rPr>
        <w:t xml:space="preserve"> Sistematici</w:t>
      </w:r>
      <w:r w:rsidRPr="003470D4">
        <w:rPr>
          <w:rFonts w:eastAsia="Times New Roman" w:cs="Times New Roman"/>
          <w:lang w:eastAsia="it-IT"/>
        </w:rPr>
        <w:t xml:space="preserve">. </w:t>
      </w:r>
      <w:bookmarkStart w:id="0" w:name="_GoBack"/>
      <w:bookmarkEnd w:id="0"/>
    </w:p>
    <w:p w14:paraId="3361712E" w14:textId="77777777" w:rsidR="005E65C3" w:rsidRPr="001E42BC" w:rsidRDefault="005E65C3" w:rsidP="005E65C3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3C3FC94D" w14:textId="52565A81" w:rsidR="005E65C3" w:rsidRPr="00345A01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345A01">
        <w:rPr>
          <w:rFonts w:eastAsia="Times New Roman" w:cs="Times New Roman"/>
          <w:lang w:eastAsia="it-IT"/>
        </w:rPr>
        <w:t xml:space="preserve">Dalla classifica </w:t>
      </w:r>
      <w:r w:rsidRPr="00345A01">
        <w:rPr>
          <w:rFonts w:eastAsia="Times New Roman" w:cs="Times New Roman"/>
          <w:b/>
          <w:lang w:eastAsia="it-IT"/>
        </w:rPr>
        <w:t>Azioni</w:t>
      </w:r>
      <w:r w:rsidRPr="00345A01">
        <w:rPr>
          <w:rFonts w:eastAsia="Times New Roman" w:cs="Times New Roman"/>
          <w:lang w:eastAsia="it-IT"/>
        </w:rPr>
        <w:t xml:space="preserve"> (cfr. pag. 4) –elaborata aggregando i </w:t>
      </w:r>
      <w:r w:rsidRPr="00345A01">
        <w:rPr>
          <w:rFonts w:eastAsia="Times New Roman" w:cs="Times New Roman"/>
          <w:b/>
          <w:lang w:eastAsia="it-IT"/>
        </w:rPr>
        <w:t>volumi scambiati</w:t>
      </w:r>
      <w:r w:rsidRPr="00345A01">
        <w:rPr>
          <w:rFonts w:eastAsia="Times New Roman" w:cs="Times New Roman"/>
          <w:lang w:eastAsia="it-IT"/>
        </w:rPr>
        <w:t xml:space="preserve"> dagli intermediari Associati in conto terzi su MTA ed EQUIDUCT, nonché sugli internalizzatori </w:t>
      </w:r>
      <w:r w:rsidR="00366245">
        <w:rPr>
          <w:rFonts w:eastAsia="Times New Roman" w:cs="Times New Roman"/>
          <w:lang w:eastAsia="it-IT"/>
        </w:rPr>
        <w:t xml:space="preserve">sistematici </w:t>
      </w:r>
      <w:r w:rsidRPr="00345A01">
        <w:rPr>
          <w:rFonts w:eastAsia="Times New Roman" w:cs="Times New Roman"/>
          <w:lang w:eastAsia="it-IT"/>
        </w:rPr>
        <w:t xml:space="preserve">eventualmente gestiti– si evidenzia la prima posizione di </w:t>
      </w:r>
      <w:r w:rsidRPr="00345A01">
        <w:rPr>
          <w:rFonts w:eastAsia="Times New Roman" w:cs="Times New Roman"/>
          <w:b/>
          <w:lang w:eastAsia="it-IT"/>
        </w:rPr>
        <w:t>FINECOBANK</w:t>
      </w:r>
      <w:r w:rsidRPr="00345A01">
        <w:rPr>
          <w:rFonts w:eastAsia="Times New Roman" w:cs="Times New Roman"/>
          <w:lang w:eastAsia="it-IT"/>
        </w:rPr>
        <w:t xml:space="preserve">, con una quota di mercato del </w:t>
      </w:r>
      <w:r w:rsidR="00345A01" w:rsidRPr="00345A01">
        <w:rPr>
          <w:rFonts w:eastAsia="Times New Roman" w:cs="Times New Roman"/>
          <w:lang w:eastAsia="it-IT"/>
        </w:rPr>
        <w:t>24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00</w:t>
      </w:r>
      <w:r w:rsidRPr="00345A01">
        <w:rPr>
          <w:rFonts w:eastAsia="Times New Roman" w:cs="Times New Roman"/>
          <w:lang w:eastAsia="it-IT"/>
        </w:rPr>
        <w:t xml:space="preserve">%; seconda </w:t>
      </w:r>
      <w:r w:rsidR="001E42BC" w:rsidRPr="00345A01">
        <w:rPr>
          <w:rFonts w:eastAsia="Times New Roman" w:cs="Times New Roman"/>
          <w:b/>
          <w:lang w:eastAsia="it-IT"/>
        </w:rPr>
        <w:t>BANCA IMI</w:t>
      </w:r>
      <w:r w:rsidRPr="00345A01">
        <w:rPr>
          <w:rFonts w:eastAsia="Times New Roman" w:cs="Times New Roman"/>
          <w:lang w:eastAsia="it-IT"/>
        </w:rPr>
        <w:t>, con una quota del</w:t>
      </w:r>
      <w:r w:rsidR="001E42BC" w:rsidRPr="00345A01">
        <w:rPr>
          <w:rFonts w:eastAsia="Times New Roman" w:cs="Times New Roman"/>
          <w:lang w:eastAsia="it-IT"/>
        </w:rPr>
        <w:t xml:space="preserve"> </w:t>
      </w:r>
      <w:r w:rsidR="00345A01" w:rsidRPr="00345A01">
        <w:rPr>
          <w:rFonts w:eastAsia="Times New Roman" w:cs="Times New Roman"/>
          <w:lang w:eastAsia="it-IT"/>
        </w:rPr>
        <w:t>10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70</w:t>
      </w:r>
      <w:r w:rsidRPr="00345A01">
        <w:rPr>
          <w:rFonts w:eastAsia="Times New Roman" w:cs="Times New Roman"/>
          <w:lang w:eastAsia="it-IT"/>
        </w:rPr>
        <w:t xml:space="preserve">%; </w:t>
      </w:r>
      <w:r w:rsidR="001E42BC" w:rsidRPr="00345A01">
        <w:rPr>
          <w:rFonts w:eastAsia="Times New Roman" w:cs="Times New Roman"/>
          <w:b/>
          <w:lang w:eastAsia="it-IT"/>
        </w:rPr>
        <w:t>IWBANK</w:t>
      </w:r>
      <w:r w:rsidR="001E42BC" w:rsidRPr="00345A01">
        <w:rPr>
          <w:rFonts w:eastAsia="Times New Roman" w:cs="Times New Roman"/>
          <w:lang w:eastAsia="it-IT"/>
        </w:rPr>
        <w:t xml:space="preserve"> </w:t>
      </w:r>
      <w:r w:rsidRPr="00345A01">
        <w:rPr>
          <w:rFonts w:eastAsia="Times New Roman" w:cs="Times New Roman"/>
          <w:lang w:eastAsia="it-IT"/>
        </w:rPr>
        <w:t>terza, con una quota del</w:t>
      </w:r>
      <w:r w:rsidR="00D177BD" w:rsidRPr="00345A01">
        <w:rPr>
          <w:rFonts w:eastAsia="Times New Roman" w:cs="Times New Roman"/>
          <w:lang w:eastAsia="it-IT"/>
        </w:rPr>
        <w:t>l’8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69</w:t>
      </w:r>
      <w:r w:rsidRPr="00345A01">
        <w:rPr>
          <w:rFonts w:eastAsia="Times New Roman" w:cs="Times New Roman"/>
          <w:lang w:eastAsia="it-IT"/>
        </w:rPr>
        <w:t xml:space="preserve">%. Nella classifica per </w:t>
      </w:r>
      <w:r w:rsidRPr="00345A01">
        <w:rPr>
          <w:rFonts w:eastAsia="Times New Roman" w:cs="Times New Roman"/>
          <w:b/>
          <w:lang w:eastAsia="it-IT"/>
        </w:rPr>
        <w:t>numero di</w:t>
      </w:r>
      <w:r w:rsidRPr="00345A01">
        <w:rPr>
          <w:rFonts w:eastAsia="Times New Roman" w:cs="Times New Roman"/>
          <w:lang w:eastAsia="it-IT"/>
        </w:rPr>
        <w:t xml:space="preserve"> </w:t>
      </w:r>
      <w:r w:rsidRPr="00345A01">
        <w:rPr>
          <w:rFonts w:eastAsia="Times New Roman" w:cs="Times New Roman"/>
          <w:b/>
          <w:lang w:eastAsia="it-IT"/>
        </w:rPr>
        <w:t xml:space="preserve">operazioni </w:t>
      </w:r>
      <w:r w:rsidRPr="00345A01">
        <w:rPr>
          <w:rFonts w:eastAsia="Times New Roman" w:cs="Times New Roman"/>
          <w:lang w:eastAsia="it-IT"/>
        </w:rPr>
        <w:t>(cfr. pag. 4),</w:t>
      </w:r>
      <w:r w:rsidRPr="00345A01">
        <w:rPr>
          <w:rFonts w:eastAsia="Times New Roman" w:cs="Times New Roman"/>
          <w:b/>
          <w:lang w:eastAsia="it-IT"/>
        </w:rPr>
        <w:t xml:space="preserve"> FINECOBANK</w:t>
      </w:r>
      <w:r w:rsidRPr="00345A01">
        <w:rPr>
          <w:rFonts w:eastAsia="Times New Roman" w:cs="Times New Roman"/>
          <w:lang w:eastAsia="it-IT"/>
        </w:rPr>
        <w:t xml:space="preserve"> evidenzia una quota di mercato del </w:t>
      </w:r>
      <w:r w:rsidR="00345A01" w:rsidRPr="00345A01">
        <w:rPr>
          <w:rFonts w:eastAsia="Times New Roman" w:cs="Times New Roman"/>
          <w:lang w:eastAsia="it-IT"/>
        </w:rPr>
        <w:t>21</w:t>
      </w:r>
      <w:r w:rsidRPr="00345A01">
        <w:rPr>
          <w:rFonts w:eastAsia="Times New Roman" w:cs="Times New Roman"/>
          <w:lang w:eastAsia="it-IT"/>
        </w:rPr>
        <w:t>,</w:t>
      </w:r>
      <w:r w:rsidR="001E42BC" w:rsidRPr="00345A01">
        <w:rPr>
          <w:rFonts w:eastAsia="Times New Roman" w:cs="Times New Roman"/>
          <w:lang w:eastAsia="it-IT"/>
        </w:rPr>
        <w:t>5</w:t>
      </w:r>
      <w:r w:rsidR="00345A01" w:rsidRPr="00345A01">
        <w:rPr>
          <w:rFonts w:eastAsia="Times New Roman" w:cs="Times New Roman"/>
          <w:lang w:eastAsia="it-IT"/>
        </w:rPr>
        <w:t>8</w:t>
      </w:r>
      <w:r w:rsidRPr="00345A01">
        <w:rPr>
          <w:rFonts w:eastAsia="Times New Roman" w:cs="Times New Roman"/>
          <w:lang w:eastAsia="it-IT"/>
        </w:rPr>
        <w:t xml:space="preserve">%; </w:t>
      </w:r>
      <w:r w:rsidRPr="00345A01">
        <w:rPr>
          <w:rFonts w:eastAsia="Times New Roman" w:cs="Times New Roman"/>
          <w:b/>
          <w:lang w:eastAsia="it-IT"/>
        </w:rPr>
        <w:t>BANCA IMI</w:t>
      </w:r>
      <w:r w:rsidRPr="00345A01">
        <w:rPr>
          <w:rFonts w:eastAsia="Times New Roman" w:cs="Times New Roman"/>
          <w:lang w:eastAsia="it-IT"/>
        </w:rPr>
        <w:t xml:space="preserve"> del</w:t>
      </w:r>
      <w:r w:rsidR="00345A01" w:rsidRPr="00345A01">
        <w:rPr>
          <w:rFonts w:eastAsia="Times New Roman" w:cs="Times New Roman"/>
          <w:lang w:eastAsia="it-IT"/>
        </w:rPr>
        <w:t xml:space="preserve"> </w:t>
      </w:r>
      <w:r w:rsidR="00D177BD" w:rsidRPr="00345A01">
        <w:rPr>
          <w:rFonts w:eastAsia="Times New Roman" w:cs="Times New Roman"/>
          <w:lang w:eastAsia="it-IT"/>
        </w:rPr>
        <w:t>1</w:t>
      </w:r>
      <w:r w:rsidR="00345A01" w:rsidRPr="00345A01">
        <w:rPr>
          <w:rFonts w:eastAsia="Times New Roman" w:cs="Times New Roman"/>
          <w:lang w:eastAsia="it-IT"/>
        </w:rPr>
        <w:t>3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49</w:t>
      </w:r>
      <w:r w:rsidRPr="00345A01">
        <w:rPr>
          <w:rFonts w:eastAsia="Times New Roman" w:cs="Times New Roman"/>
          <w:lang w:eastAsia="it-IT"/>
        </w:rPr>
        <w:t xml:space="preserve">%; </w:t>
      </w:r>
      <w:r w:rsidR="00345A01" w:rsidRPr="00345A01">
        <w:rPr>
          <w:rFonts w:eastAsia="Times New Roman" w:cs="Times New Roman"/>
          <w:b/>
          <w:lang w:eastAsia="it-IT"/>
        </w:rPr>
        <w:t>BANCA AKROS</w:t>
      </w:r>
      <w:r w:rsidRPr="00345A01">
        <w:rPr>
          <w:rFonts w:eastAsia="Times New Roman" w:cs="Times New Roman"/>
          <w:lang w:eastAsia="it-IT"/>
        </w:rPr>
        <w:t xml:space="preserve"> del</w:t>
      </w:r>
      <w:r w:rsidR="00D177BD" w:rsidRPr="00345A01">
        <w:rPr>
          <w:rFonts w:eastAsia="Times New Roman" w:cs="Times New Roman"/>
          <w:lang w:eastAsia="it-IT"/>
        </w:rPr>
        <w:t xml:space="preserve"> </w:t>
      </w:r>
      <w:r w:rsidR="00345A01" w:rsidRPr="00345A01">
        <w:rPr>
          <w:rFonts w:eastAsia="Times New Roman" w:cs="Times New Roman"/>
          <w:lang w:eastAsia="it-IT"/>
        </w:rPr>
        <w:t>7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26</w:t>
      </w:r>
      <w:r w:rsidRPr="00345A01">
        <w:rPr>
          <w:rFonts w:eastAsia="Times New Roman" w:cs="Times New Roman"/>
          <w:lang w:eastAsia="it-IT"/>
        </w:rPr>
        <w:t xml:space="preserve">%. </w:t>
      </w:r>
    </w:p>
    <w:p w14:paraId="761A75C5" w14:textId="77777777" w:rsidR="005E65C3" w:rsidRPr="009519A0" w:rsidRDefault="005E65C3" w:rsidP="005E65C3">
      <w:pPr>
        <w:spacing w:after="0" w:line="240" w:lineRule="auto"/>
        <w:rPr>
          <w:rFonts w:eastAsia="Times New Roman" w:cs="Times New Roman"/>
          <w:highlight w:val="yellow"/>
          <w:lang w:eastAsia="it-IT"/>
        </w:rPr>
      </w:pPr>
    </w:p>
    <w:p w14:paraId="70250EDC" w14:textId="669B1804" w:rsidR="005E65C3" w:rsidRPr="00345A01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345A01">
        <w:rPr>
          <w:rFonts w:eastAsia="Times New Roman" w:cs="Times New Roman"/>
          <w:lang w:eastAsia="it-IT"/>
        </w:rPr>
        <w:t xml:space="preserve">Dalla classifica </w:t>
      </w:r>
      <w:r w:rsidRPr="00345A01">
        <w:rPr>
          <w:rFonts w:eastAsia="Times New Roman" w:cs="Times New Roman"/>
          <w:b/>
          <w:lang w:eastAsia="it-IT"/>
        </w:rPr>
        <w:t xml:space="preserve">Bonds </w:t>
      </w:r>
      <w:r w:rsidRPr="00345A01">
        <w:rPr>
          <w:rFonts w:eastAsia="Times New Roman" w:cs="Times New Roman"/>
          <w:lang w:eastAsia="it-IT"/>
        </w:rPr>
        <w:t xml:space="preserve">(cfr. pag. 5) –elaborata aggregando i </w:t>
      </w:r>
      <w:r w:rsidRPr="00345A01">
        <w:rPr>
          <w:rFonts w:eastAsia="Times New Roman" w:cs="Times New Roman"/>
          <w:b/>
          <w:lang w:eastAsia="it-IT"/>
        </w:rPr>
        <w:t>volumi scambiati</w:t>
      </w:r>
      <w:r w:rsidRPr="00345A01">
        <w:rPr>
          <w:rFonts w:eastAsia="Times New Roman" w:cs="Times New Roman"/>
          <w:lang w:eastAsia="it-IT"/>
        </w:rPr>
        <w:t xml:space="preserve"> dagli intermediari Associati in conto terzi su DomesticMOT, EuroMOT, ExtraMOT, Eurotlx ed Hi MTF, nonché sugli internalizzatori </w:t>
      </w:r>
      <w:r w:rsidR="00366245">
        <w:rPr>
          <w:rFonts w:eastAsia="Times New Roman" w:cs="Times New Roman"/>
          <w:lang w:eastAsia="it-IT"/>
        </w:rPr>
        <w:t xml:space="preserve">sistematici </w:t>
      </w:r>
      <w:r w:rsidRPr="00345A01">
        <w:rPr>
          <w:rFonts w:eastAsia="Times New Roman" w:cs="Times New Roman"/>
          <w:lang w:eastAsia="it-IT"/>
        </w:rPr>
        <w:t xml:space="preserve">da ciascuno di essi eventualmente gestiti– si evidenzia la prima posizione di </w:t>
      </w:r>
      <w:r w:rsidRPr="00345A01">
        <w:rPr>
          <w:rFonts w:eastAsia="Times New Roman" w:cs="Times New Roman"/>
          <w:b/>
          <w:lang w:eastAsia="it-IT"/>
        </w:rPr>
        <w:t>BANCA IMI</w:t>
      </w:r>
      <w:r w:rsidRPr="00345A01">
        <w:rPr>
          <w:rFonts w:eastAsia="Times New Roman" w:cs="Times New Roman"/>
          <w:lang w:eastAsia="it-IT"/>
        </w:rPr>
        <w:t xml:space="preserve">, con una quota di mercato del </w:t>
      </w:r>
      <w:r w:rsidR="00345A01" w:rsidRPr="00345A01">
        <w:rPr>
          <w:rFonts w:eastAsia="Times New Roman" w:cs="Times New Roman"/>
          <w:lang w:eastAsia="it-IT"/>
        </w:rPr>
        <w:t>21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29</w:t>
      </w:r>
      <w:r w:rsidRPr="00345A01">
        <w:rPr>
          <w:rFonts w:eastAsia="Times New Roman" w:cs="Times New Roman"/>
          <w:lang w:eastAsia="it-IT"/>
        </w:rPr>
        <w:t xml:space="preserve">%; </w:t>
      </w:r>
      <w:r w:rsidRPr="00345A01">
        <w:rPr>
          <w:rFonts w:eastAsia="Times New Roman" w:cs="Times New Roman"/>
          <w:b/>
          <w:lang w:eastAsia="it-IT"/>
        </w:rPr>
        <w:t>BANCA AKROS</w:t>
      </w:r>
      <w:r w:rsidRPr="00345A01">
        <w:rPr>
          <w:rFonts w:eastAsia="Times New Roman" w:cs="Times New Roman"/>
          <w:lang w:eastAsia="it-IT"/>
        </w:rPr>
        <w:t xml:space="preserve"> seconda, con una quota di mercato del 1</w:t>
      </w:r>
      <w:r w:rsidR="00345A01" w:rsidRPr="00345A01">
        <w:rPr>
          <w:rFonts w:eastAsia="Times New Roman" w:cs="Times New Roman"/>
          <w:lang w:eastAsia="it-IT"/>
        </w:rPr>
        <w:t>6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44</w:t>
      </w:r>
      <w:r w:rsidRPr="00345A01">
        <w:rPr>
          <w:rFonts w:eastAsia="Times New Roman" w:cs="Times New Roman"/>
          <w:lang w:eastAsia="it-IT"/>
        </w:rPr>
        <w:t xml:space="preserve">%; </w:t>
      </w:r>
      <w:r w:rsidRPr="00345A01">
        <w:rPr>
          <w:rFonts w:eastAsia="Times New Roman" w:cs="Times New Roman"/>
          <w:b/>
          <w:lang w:eastAsia="it-IT"/>
        </w:rPr>
        <w:t>I</w:t>
      </w:r>
      <w:r w:rsidR="00345A01" w:rsidRPr="00345A01">
        <w:rPr>
          <w:rFonts w:eastAsia="Times New Roman" w:cs="Times New Roman"/>
          <w:b/>
          <w:lang w:eastAsia="it-IT"/>
        </w:rPr>
        <w:t>NVEST</w:t>
      </w:r>
      <w:r w:rsidRPr="00345A01">
        <w:rPr>
          <w:rFonts w:eastAsia="Times New Roman" w:cs="Times New Roman"/>
          <w:b/>
          <w:lang w:eastAsia="it-IT"/>
        </w:rPr>
        <w:t xml:space="preserve"> BANCA</w:t>
      </w:r>
      <w:r w:rsidRPr="00345A01">
        <w:rPr>
          <w:rFonts w:eastAsia="Times New Roman" w:cs="Times New Roman"/>
          <w:lang w:eastAsia="it-IT"/>
        </w:rPr>
        <w:t xml:space="preserve"> terza, con una quota di mercato del</w:t>
      </w:r>
      <w:r w:rsidR="0037715C" w:rsidRPr="00345A01">
        <w:rPr>
          <w:rFonts w:eastAsia="Times New Roman" w:cs="Times New Roman"/>
          <w:lang w:eastAsia="it-IT"/>
        </w:rPr>
        <w:t xml:space="preserve"> 10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23</w:t>
      </w:r>
      <w:r w:rsidRPr="00345A01">
        <w:rPr>
          <w:rFonts w:eastAsia="Times New Roman" w:cs="Times New Roman"/>
          <w:lang w:eastAsia="it-IT"/>
        </w:rPr>
        <w:t xml:space="preserve">%. Nella classifica per </w:t>
      </w:r>
      <w:r w:rsidRPr="00345A01">
        <w:rPr>
          <w:rFonts w:eastAsia="Times New Roman" w:cs="Times New Roman"/>
          <w:b/>
          <w:lang w:eastAsia="it-IT"/>
        </w:rPr>
        <w:t>numero di</w:t>
      </w:r>
      <w:r w:rsidRPr="00345A01">
        <w:rPr>
          <w:rFonts w:eastAsia="Times New Roman" w:cs="Times New Roman"/>
          <w:lang w:eastAsia="it-IT"/>
        </w:rPr>
        <w:t xml:space="preserve"> </w:t>
      </w:r>
      <w:r w:rsidRPr="00345A01">
        <w:rPr>
          <w:rFonts w:eastAsia="Times New Roman" w:cs="Times New Roman"/>
          <w:b/>
          <w:lang w:eastAsia="it-IT"/>
        </w:rPr>
        <w:t>operazioni</w:t>
      </w:r>
      <w:r w:rsidRPr="00345A01">
        <w:rPr>
          <w:rFonts w:eastAsia="Times New Roman" w:cs="Times New Roman"/>
          <w:lang w:eastAsia="it-IT"/>
        </w:rPr>
        <w:t xml:space="preserve"> (cfr. pag. 6), </w:t>
      </w:r>
      <w:r w:rsidRPr="00345A01">
        <w:rPr>
          <w:rFonts w:eastAsia="Times New Roman" w:cs="Times New Roman"/>
          <w:b/>
          <w:lang w:eastAsia="it-IT"/>
        </w:rPr>
        <w:t>BANCA IMI</w:t>
      </w:r>
      <w:r w:rsidRPr="00345A01">
        <w:rPr>
          <w:rFonts w:eastAsia="Times New Roman" w:cs="Times New Roman"/>
          <w:lang w:eastAsia="it-IT"/>
        </w:rPr>
        <w:t xml:space="preserve"> evidenzia una quota di mercato del 2</w:t>
      </w:r>
      <w:r w:rsidR="00D177BD" w:rsidRPr="00345A01">
        <w:rPr>
          <w:rFonts w:eastAsia="Times New Roman" w:cs="Times New Roman"/>
          <w:lang w:eastAsia="it-IT"/>
        </w:rPr>
        <w:t>4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04</w:t>
      </w:r>
      <w:r w:rsidRPr="00345A01">
        <w:rPr>
          <w:rFonts w:eastAsia="Times New Roman" w:cs="Times New Roman"/>
          <w:lang w:eastAsia="it-IT"/>
        </w:rPr>
        <w:t xml:space="preserve">%; </w:t>
      </w:r>
      <w:r w:rsidRPr="00345A01">
        <w:rPr>
          <w:rFonts w:eastAsia="Times New Roman" w:cs="Times New Roman"/>
          <w:b/>
          <w:lang w:eastAsia="it-IT"/>
        </w:rPr>
        <w:t>BANCA AKROS</w:t>
      </w:r>
      <w:r w:rsidRPr="00345A01">
        <w:rPr>
          <w:rFonts w:eastAsia="Times New Roman" w:cs="Times New Roman"/>
          <w:lang w:eastAsia="it-IT"/>
        </w:rPr>
        <w:t xml:space="preserve"> del 1</w:t>
      </w:r>
      <w:r w:rsidR="00345A01" w:rsidRPr="00345A01">
        <w:rPr>
          <w:rFonts w:eastAsia="Times New Roman" w:cs="Times New Roman"/>
          <w:lang w:eastAsia="it-IT"/>
        </w:rPr>
        <w:t>6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18</w:t>
      </w:r>
      <w:r w:rsidRPr="00345A01">
        <w:rPr>
          <w:rFonts w:eastAsia="Times New Roman" w:cs="Times New Roman"/>
          <w:lang w:eastAsia="it-IT"/>
        </w:rPr>
        <w:t xml:space="preserve">%; </w:t>
      </w:r>
      <w:r w:rsidRPr="00345A01">
        <w:rPr>
          <w:rFonts w:eastAsia="Times New Roman" w:cs="Times New Roman"/>
          <w:b/>
          <w:lang w:eastAsia="it-IT"/>
        </w:rPr>
        <w:t xml:space="preserve">UNICREDIT BANK AG </w:t>
      </w:r>
      <w:r w:rsidRPr="00345A01">
        <w:rPr>
          <w:rFonts w:eastAsia="Times New Roman" w:cs="Times New Roman"/>
          <w:lang w:eastAsia="it-IT"/>
        </w:rPr>
        <w:t>del</w:t>
      </w:r>
      <w:r w:rsidR="009C6DCB" w:rsidRPr="00345A01">
        <w:rPr>
          <w:rFonts w:eastAsia="Times New Roman" w:cs="Times New Roman"/>
          <w:lang w:eastAsia="it-IT"/>
        </w:rPr>
        <w:t xml:space="preserve"> </w:t>
      </w:r>
      <w:r w:rsidRPr="00345A01">
        <w:rPr>
          <w:rFonts w:eastAsia="Times New Roman" w:cs="Times New Roman"/>
          <w:lang w:eastAsia="it-IT"/>
        </w:rPr>
        <w:t>1</w:t>
      </w:r>
      <w:r w:rsidR="00345A01" w:rsidRPr="00345A01">
        <w:rPr>
          <w:rFonts w:eastAsia="Times New Roman" w:cs="Times New Roman"/>
          <w:lang w:eastAsia="it-IT"/>
        </w:rPr>
        <w:t>0</w:t>
      </w:r>
      <w:r w:rsidRPr="00345A01">
        <w:rPr>
          <w:rFonts w:eastAsia="Times New Roman" w:cs="Times New Roman"/>
          <w:lang w:eastAsia="it-IT"/>
        </w:rPr>
        <w:t>,</w:t>
      </w:r>
      <w:r w:rsidR="00345A01" w:rsidRPr="00345A01">
        <w:rPr>
          <w:rFonts w:eastAsia="Times New Roman" w:cs="Times New Roman"/>
          <w:lang w:eastAsia="it-IT"/>
        </w:rPr>
        <w:t>39</w:t>
      </w:r>
      <w:r w:rsidRPr="00345A01">
        <w:rPr>
          <w:rFonts w:eastAsia="Times New Roman" w:cs="Times New Roman"/>
          <w:lang w:eastAsia="it-IT"/>
        </w:rPr>
        <w:t>%.</w:t>
      </w:r>
    </w:p>
    <w:p w14:paraId="2498DAB0" w14:textId="526DC41C" w:rsidR="005E65C3" w:rsidRPr="00E01FC3" w:rsidRDefault="005E65C3" w:rsidP="002E307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E01FC3">
        <w:rPr>
          <w:rFonts w:eastAsia="Times New Roman" w:cs="Times New Roman"/>
          <w:lang w:eastAsia="it-IT"/>
        </w:rPr>
        <w:lastRenderedPageBreak/>
        <w:t xml:space="preserve">Il </w:t>
      </w:r>
      <w:r w:rsidRPr="00E01FC3">
        <w:rPr>
          <w:rFonts w:eastAsia="Times New Roman" w:cs="Times New Roman"/>
          <w:b/>
          <w:lang w:eastAsia="it-IT"/>
        </w:rPr>
        <w:t xml:space="preserve">controvalore totale degli scambi </w:t>
      </w:r>
      <w:r w:rsidRPr="00E01FC3">
        <w:rPr>
          <w:rFonts w:eastAsia="Times New Roman" w:cs="Times New Roman"/>
          <w:lang w:eastAsia="it-IT"/>
        </w:rPr>
        <w:t xml:space="preserve">sul </w:t>
      </w:r>
      <w:r w:rsidRPr="00E01FC3">
        <w:rPr>
          <w:rFonts w:eastAsia="Times New Roman" w:cs="Times New Roman"/>
          <w:b/>
          <w:lang w:eastAsia="it-IT"/>
        </w:rPr>
        <w:t>mercato azionario di Borsa Italiana,</w:t>
      </w:r>
      <w:r w:rsidRPr="00E01FC3">
        <w:rPr>
          <w:rFonts w:eastAsia="Times New Roman" w:cs="Times New Roman"/>
          <w:lang w:eastAsia="it-IT"/>
        </w:rPr>
        <w:t xml:space="preserve"> pari in valore assoluto a </w:t>
      </w:r>
      <w:r w:rsidR="00E833CF" w:rsidRPr="00E01FC3">
        <w:rPr>
          <w:rFonts w:eastAsia="Times New Roman" w:cs="Times New Roman"/>
          <w:lang w:eastAsia="it-IT"/>
        </w:rPr>
        <w:t>363</w:t>
      </w:r>
      <w:r w:rsidRPr="00E01FC3">
        <w:rPr>
          <w:rFonts w:eastAsia="Times New Roman" w:cs="Times New Roman"/>
          <w:lang w:eastAsia="it-IT"/>
        </w:rPr>
        <w:t xml:space="preserve"> miliardi di euro, è </w:t>
      </w:r>
      <w:r w:rsidR="000045B7" w:rsidRPr="00E01FC3">
        <w:rPr>
          <w:rFonts w:eastAsia="Times New Roman" w:cs="Times New Roman"/>
          <w:lang w:eastAsia="it-IT"/>
        </w:rPr>
        <w:t>cresciuto</w:t>
      </w:r>
      <w:r w:rsidR="00020001" w:rsidRPr="00E01FC3">
        <w:rPr>
          <w:rFonts w:eastAsia="Times New Roman" w:cs="Times New Roman"/>
          <w:lang w:eastAsia="it-IT"/>
        </w:rPr>
        <w:t xml:space="preserve"> </w:t>
      </w:r>
      <w:r w:rsidRPr="00E01FC3">
        <w:rPr>
          <w:rFonts w:eastAsia="Times New Roman" w:cs="Times New Roman"/>
          <w:lang w:eastAsia="it-IT"/>
        </w:rPr>
        <w:t>del</w:t>
      </w:r>
      <w:r w:rsidR="00020001" w:rsidRPr="00E01FC3">
        <w:rPr>
          <w:rFonts w:eastAsia="Times New Roman" w:cs="Times New Roman"/>
          <w:lang w:eastAsia="it-IT"/>
        </w:rPr>
        <w:t xml:space="preserve"> </w:t>
      </w:r>
      <w:r w:rsidR="007631AD" w:rsidRPr="00E01FC3">
        <w:rPr>
          <w:rFonts w:eastAsia="Times New Roman" w:cs="Times New Roman"/>
          <w:lang w:eastAsia="it-IT"/>
        </w:rPr>
        <w:t>7</w:t>
      </w:r>
      <w:r w:rsidRPr="00E01FC3">
        <w:rPr>
          <w:rFonts w:eastAsia="Times New Roman" w:cs="Times New Roman"/>
          <w:lang w:eastAsia="it-IT"/>
        </w:rPr>
        <w:t>,</w:t>
      </w:r>
      <w:r w:rsidR="007631AD" w:rsidRPr="00E01FC3">
        <w:rPr>
          <w:rFonts w:eastAsia="Times New Roman" w:cs="Times New Roman"/>
          <w:lang w:eastAsia="it-IT"/>
        </w:rPr>
        <w:t>0</w:t>
      </w:r>
      <w:r w:rsidR="00875087">
        <w:rPr>
          <w:rFonts w:eastAsia="Times New Roman" w:cs="Times New Roman"/>
          <w:lang w:eastAsia="it-IT"/>
        </w:rPr>
        <w:t>5</w:t>
      </w:r>
      <w:r w:rsidRPr="00E01FC3">
        <w:rPr>
          <w:rFonts w:eastAsia="Times New Roman" w:cs="Times New Roman"/>
          <w:lang w:eastAsia="it-IT"/>
        </w:rPr>
        <w:t>% rispetto al medesimo periodo del 201</w:t>
      </w:r>
      <w:r w:rsidR="007631AD" w:rsidRPr="00E01FC3">
        <w:rPr>
          <w:rFonts w:eastAsia="Times New Roman" w:cs="Times New Roman"/>
          <w:lang w:eastAsia="it-IT"/>
        </w:rPr>
        <w:t>7</w:t>
      </w:r>
      <w:r w:rsidRPr="00E01FC3">
        <w:rPr>
          <w:rFonts w:eastAsia="Times New Roman" w:cs="Times New Roman"/>
          <w:lang w:eastAsia="it-IT"/>
        </w:rPr>
        <w:t xml:space="preserve">, mentre il </w:t>
      </w:r>
      <w:r w:rsidRPr="00E01FC3">
        <w:rPr>
          <w:rFonts w:eastAsia="Times New Roman" w:cs="Times New Roman"/>
          <w:b/>
          <w:lang w:eastAsia="it-IT"/>
        </w:rPr>
        <w:t>numero dei contratti scambiati</w:t>
      </w:r>
      <w:r w:rsidRPr="00E01FC3">
        <w:rPr>
          <w:rFonts w:eastAsia="Times New Roman" w:cs="Times New Roman"/>
          <w:lang w:eastAsia="it-IT"/>
        </w:rPr>
        <w:t xml:space="preserve">, pari a </w:t>
      </w:r>
      <w:r w:rsidR="007631AD" w:rsidRPr="00E01FC3">
        <w:rPr>
          <w:rFonts w:eastAsia="Times New Roman" w:cs="Times New Roman"/>
          <w:lang w:eastAsia="it-IT"/>
        </w:rPr>
        <w:t>39</w:t>
      </w:r>
      <w:r w:rsidRPr="00E01FC3">
        <w:rPr>
          <w:rFonts w:eastAsia="Times New Roman" w:cs="Times New Roman"/>
          <w:lang w:eastAsia="it-IT"/>
        </w:rPr>
        <w:t xml:space="preserve"> milioni, è </w:t>
      </w:r>
      <w:r w:rsidR="007631AD" w:rsidRPr="00E01FC3">
        <w:rPr>
          <w:rFonts w:eastAsia="Times New Roman" w:cs="Times New Roman"/>
          <w:lang w:eastAsia="it-IT"/>
        </w:rPr>
        <w:t xml:space="preserve">cresciuto </w:t>
      </w:r>
      <w:r w:rsidRPr="00E01FC3">
        <w:rPr>
          <w:rFonts w:eastAsia="Times New Roman" w:cs="Times New Roman"/>
          <w:lang w:eastAsia="it-IT"/>
        </w:rPr>
        <w:t>del</w:t>
      </w:r>
      <w:r w:rsidR="00D177BD" w:rsidRPr="00E01FC3">
        <w:rPr>
          <w:rFonts w:eastAsia="Times New Roman" w:cs="Times New Roman"/>
          <w:lang w:eastAsia="it-IT"/>
        </w:rPr>
        <w:t xml:space="preserve"> </w:t>
      </w:r>
      <w:r w:rsidR="007631AD" w:rsidRPr="00E01FC3">
        <w:rPr>
          <w:rFonts w:eastAsia="Times New Roman" w:cs="Times New Roman"/>
          <w:lang w:eastAsia="it-IT"/>
        </w:rPr>
        <w:t>5</w:t>
      </w:r>
      <w:r w:rsidRPr="00E01FC3">
        <w:rPr>
          <w:rFonts w:eastAsia="Times New Roman" w:cs="Times New Roman"/>
          <w:lang w:eastAsia="it-IT"/>
        </w:rPr>
        <w:t>,</w:t>
      </w:r>
      <w:r w:rsidR="000045B7" w:rsidRPr="00E01FC3">
        <w:rPr>
          <w:rFonts w:eastAsia="Times New Roman" w:cs="Times New Roman"/>
          <w:lang w:eastAsia="it-IT"/>
        </w:rPr>
        <w:t>0</w:t>
      </w:r>
      <w:r w:rsidR="00875087">
        <w:rPr>
          <w:rFonts w:eastAsia="Times New Roman" w:cs="Times New Roman"/>
          <w:lang w:eastAsia="it-IT"/>
        </w:rPr>
        <w:t>8</w:t>
      </w:r>
      <w:r w:rsidRPr="00E01FC3">
        <w:rPr>
          <w:rFonts w:eastAsia="Times New Roman" w:cs="Times New Roman"/>
          <w:lang w:eastAsia="it-IT"/>
        </w:rPr>
        <w:t xml:space="preserve">%. </w:t>
      </w:r>
      <w:r w:rsidR="00E01FC3" w:rsidRPr="00E01FC3">
        <w:rPr>
          <w:rFonts w:eastAsia="Times New Roman" w:cs="Times New Roman"/>
          <w:lang w:eastAsia="it-IT"/>
        </w:rPr>
        <w:t xml:space="preserve">In lieve diminuzione </w:t>
      </w:r>
      <w:r w:rsidR="002E3078" w:rsidRPr="00E01FC3">
        <w:rPr>
          <w:rFonts w:eastAsia="Times New Roman" w:cs="Times New Roman"/>
          <w:lang w:eastAsia="it-IT"/>
        </w:rPr>
        <w:t xml:space="preserve">la concentrazione del </w:t>
      </w:r>
      <w:r w:rsidR="002E3078" w:rsidRPr="00E01FC3">
        <w:rPr>
          <w:rFonts w:eastAsia="Times New Roman" w:cs="Times New Roman"/>
          <w:i/>
          <w:lang w:eastAsia="it-IT"/>
        </w:rPr>
        <w:t>trading</w:t>
      </w:r>
      <w:r w:rsidR="002E3078" w:rsidRPr="00E01FC3">
        <w:rPr>
          <w:rFonts w:eastAsia="Times New Roman" w:cs="Times New Roman"/>
          <w:lang w:eastAsia="it-IT"/>
        </w:rPr>
        <w:t xml:space="preserve"> sul mercato azionario gestito da Borsa Italiana sui titoli del FTSE MIB. Rispetto al</w:t>
      </w:r>
      <w:r w:rsidR="00E01FC3" w:rsidRPr="00E01FC3">
        <w:rPr>
          <w:rFonts w:eastAsia="Times New Roman" w:cs="Times New Roman"/>
          <w:lang w:eastAsia="it-IT"/>
        </w:rPr>
        <w:t xml:space="preserve"> primo semestre dello </w:t>
      </w:r>
      <w:r w:rsidR="002E3078" w:rsidRPr="00E01FC3">
        <w:rPr>
          <w:rFonts w:eastAsia="Times New Roman" w:cs="Times New Roman"/>
          <w:lang w:eastAsia="it-IT"/>
        </w:rPr>
        <w:t>scorso anno, la percentuale degli scambi sul principale indice si è attestata all’8</w:t>
      </w:r>
      <w:r w:rsidR="000045B7" w:rsidRPr="00E01FC3">
        <w:rPr>
          <w:rFonts w:eastAsia="Times New Roman" w:cs="Times New Roman"/>
          <w:lang w:eastAsia="it-IT"/>
        </w:rPr>
        <w:t>7,</w:t>
      </w:r>
      <w:r w:rsidR="00E01FC3" w:rsidRPr="00E01FC3">
        <w:rPr>
          <w:rFonts w:eastAsia="Times New Roman" w:cs="Times New Roman"/>
          <w:lang w:eastAsia="it-IT"/>
        </w:rPr>
        <w:t>80</w:t>
      </w:r>
      <w:r w:rsidR="002E3078" w:rsidRPr="00E01FC3">
        <w:rPr>
          <w:rFonts w:eastAsia="Times New Roman" w:cs="Times New Roman"/>
          <w:lang w:eastAsia="it-IT"/>
        </w:rPr>
        <w:t xml:space="preserve">% dal </w:t>
      </w:r>
      <w:r w:rsidR="00E01FC3" w:rsidRPr="00E01FC3">
        <w:rPr>
          <w:rFonts w:eastAsia="Times New Roman" w:cs="Times New Roman"/>
          <w:lang w:eastAsia="it-IT"/>
        </w:rPr>
        <w:t>88</w:t>
      </w:r>
      <w:r w:rsidR="000045B7" w:rsidRPr="00E01FC3">
        <w:rPr>
          <w:rFonts w:eastAsia="Times New Roman" w:cs="Times New Roman"/>
          <w:lang w:eastAsia="it-IT"/>
        </w:rPr>
        <w:t>,</w:t>
      </w:r>
      <w:r w:rsidR="00E01FC3" w:rsidRPr="00E01FC3">
        <w:rPr>
          <w:rFonts w:eastAsia="Times New Roman" w:cs="Times New Roman"/>
          <w:lang w:eastAsia="it-IT"/>
        </w:rPr>
        <w:t>70</w:t>
      </w:r>
      <w:r w:rsidR="002E3078" w:rsidRPr="00E01FC3">
        <w:rPr>
          <w:rFonts w:eastAsia="Times New Roman" w:cs="Times New Roman"/>
          <w:lang w:eastAsia="it-IT"/>
        </w:rPr>
        <w:t>%.</w:t>
      </w:r>
    </w:p>
    <w:p w14:paraId="170A651C" w14:textId="77777777" w:rsidR="005E65C3" w:rsidRPr="00E01FC3" w:rsidRDefault="005E65C3" w:rsidP="007A2C2A">
      <w:pPr>
        <w:spacing w:after="0" w:line="240" w:lineRule="auto"/>
        <w:rPr>
          <w:rFonts w:eastAsia="Times New Roman" w:cs="Times New Roman"/>
          <w:lang w:eastAsia="it-IT"/>
        </w:rPr>
      </w:pPr>
    </w:p>
    <w:p w14:paraId="04D5AE7B" w14:textId="4173E3AA" w:rsidR="005E65C3" w:rsidRPr="00E01FC3" w:rsidRDefault="005E65C3" w:rsidP="005E65C3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E01FC3">
        <w:rPr>
          <w:rFonts w:eastAsia="Times New Roman" w:cs="Times New Roman"/>
          <w:lang w:eastAsia="it-IT"/>
        </w:rPr>
        <w:t xml:space="preserve">Sul </w:t>
      </w:r>
      <w:r w:rsidR="00534C1D" w:rsidRPr="00E01FC3">
        <w:rPr>
          <w:rFonts w:eastAsia="Times New Roman" w:cs="Times New Roman"/>
          <w:lang w:eastAsia="it-IT"/>
        </w:rPr>
        <w:t xml:space="preserve">mercato </w:t>
      </w:r>
      <w:r w:rsidRPr="00E01FC3">
        <w:rPr>
          <w:rFonts w:eastAsia="Times New Roman" w:cs="Times New Roman"/>
          <w:b/>
          <w:lang w:eastAsia="it-IT"/>
        </w:rPr>
        <w:t>MOT</w:t>
      </w:r>
      <w:r w:rsidR="00DC5495" w:rsidRPr="00E01FC3">
        <w:rPr>
          <w:rFonts w:eastAsia="Times New Roman" w:cs="Times New Roman"/>
          <w:lang w:eastAsia="it-IT"/>
        </w:rPr>
        <w:t>,</w:t>
      </w:r>
      <w:r w:rsidRPr="00E01FC3">
        <w:rPr>
          <w:rFonts w:eastAsia="Times New Roman" w:cs="Times New Roman"/>
          <w:b/>
          <w:lang w:eastAsia="it-IT"/>
        </w:rPr>
        <w:t xml:space="preserve"> </w:t>
      </w:r>
      <w:r w:rsidRPr="00E01FC3">
        <w:rPr>
          <w:rFonts w:eastAsia="Times New Roman" w:cs="Times New Roman"/>
          <w:lang w:eastAsia="it-IT"/>
        </w:rPr>
        <w:t xml:space="preserve">i </w:t>
      </w:r>
      <w:r w:rsidRPr="00E01FC3">
        <w:rPr>
          <w:rFonts w:eastAsia="Times New Roman" w:cs="Times New Roman"/>
          <w:b/>
          <w:lang w:eastAsia="it-IT"/>
        </w:rPr>
        <w:t>controvalori scambiati</w:t>
      </w:r>
      <w:r w:rsidRPr="00E01FC3">
        <w:rPr>
          <w:rFonts w:eastAsia="Times New Roman" w:cs="Times New Roman"/>
          <w:lang w:eastAsia="it-IT"/>
        </w:rPr>
        <w:t xml:space="preserve"> sono diminuiti del </w:t>
      </w:r>
      <w:r w:rsidR="00E01FC3">
        <w:rPr>
          <w:rFonts w:eastAsia="Times New Roman" w:cs="Times New Roman"/>
          <w:lang w:eastAsia="it-IT"/>
        </w:rPr>
        <w:t>7</w:t>
      </w:r>
      <w:r w:rsidRPr="00E01FC3">
        <w:rPr>
          <w:rFonts w:eastAsia="Times New Roman" w:cs="Times New Roman"/>
          <w:lang w:eastAsia="it-IT"/>
        </w:rPr>
        <w:t>,</w:t>
      </w:r>
      <w:r w:rsidR="00E01FC3">
        <w:rPr>
          <w:rFonts w:eastAsia="Times New Roman" w:cs="Times New Roman"/>
          <w:lang w:eastAsia="it-IT"/>
        </w:rPr>
        <w:t>1</w:t>
      </w:r>
      <w:r w:rsidR="00DA0F63">
        <w:rPr>
          <w:rFonts w:eastAsia="Times New Roman" w:cs="Times New Roman"/>
          <w:lang w:eastAsia="it-IT"/>
        </w:rPr>
        <w:t>5</w:t>
      </w:r>
      <w:r w:rsidRPr="00E01FC3">
        <w:rPr>
          <w:rFonts w:eastAsia="Times New Roman" w:cs="Times New Roman"/>
          <w:lang w:eastAsia="it-IT"/>
        </w:rPr>
        <w:t>%: complessivamente sono stati scambiati</w:t>
      </w:r>
      <w:r w:rsidR="00E01FC3">
        <w:rPr>
          <w:rFonts w:eastAsia="Times New Roman" w:cs="Times New Roman"/>
          <w:lang w:eastAsia="it-IT"/>
        </w:rPr>
        <w:t xml:space="preserve"> 101</w:t>
      </w:r>
      <w:r w:rsidR="0065669E" w:rsidRPr="00E01FC3">
        <w:rPr>
          <w:rFonts w:eastAsia="Times New Roman" w:cs="Times New Roman"/>
          <w:lang w:eastAsia="it-IT"/>
        </w:rPr>
        <w:t xml:space="preserve"> m</w:t>
      </w:r>
      <w:r w:rsidRPr="00E01FC3">
        <w:rPr>
          <w:rFonts w:eastAsia="Times New Roman" w:cs="Times New Roman"/>
          <w:lang w:eastAsia="it-IT"/>
        </w:rPr>
        <w:t xml:space="preserve">iliardi di euro di controvalore, a fronte di </w:t>
      </w:r>
      <w:r w:rsidR="000045B7" w:rsidRPr="00E01FC3">
        <w:rPr>
          <w:rFonts w:eastAsia="Times New Roman" w:cs="Times New Roman"/>
          <w:lang w:eastAsia="it-IT"/>
        </w:rPr>
        <w:t xml:space="preserve">circa </w:t>
      </w:r>
      <w:r w:rsidR="00E01FC3" w:rsidRPr="00E01FC3">
        <w:rPr>
          <w:rFonts w:eastAsia="Times New Roman" w:cs="Times New Roman"/>
          <w:lang w:eastAsia="it-IT"/>
        </w:rPr>
        <w:t>1</w:t>
      </w:r>
      <w:r w:rsidRPr="00E01FC3">
        <w:rPr>
          <w:rFonts w:eastAsia="Times New Roman" w:cs="Times New Roman"/>
          <w:lang w:eastAsia="it-IT"/>
        </w:rPr>
        <w:t>,</w:t>
      </w:r>
      <w:r w:rsidR="00E01FC3">
        <w:rPr>
          <w:rFonts w:eastAsia="Times New Roman" w:cs="Times New Roman"/>
          <w:lang w:eastAsia="it-IT"/>
        </w:rPr>
        <w:t>9</w:t>
      </w:r>
      <w:r w:rsidRPr="00E01FC3">
        <w:rPr>
          <w:rFonts w:eastAsia="Times New Roman" w:cs="Times New Roman"/>
          <w:lang w:eastAsia="it-IT"/>
        </w:rPr>
        <w:t xml:space="preserve"> milioni di contratti. </w:t>
      </w:r>
    </w:p>
    <w:p w14:paraId="149346DB" w14:textId="77777777" w:rsidR="005E65C3" w:rsidRPr="0079494D" w:rsidRDefault="005E65C3" w:rsidP="007A2C2A">
      <w:pPr>
        <w:spacing w:after="0" w:line="240" w:lineRule="auto"/>
        <w:rPr>
          <w:rFonts w:eastAsia="Times New Roman" w:cs="Times New Roman"/>
          <w:highlight w:val="yellow"/>
          <w:lang w:eastAsia="it-IT"/>
        </w:rPr>
      </w:pPr>
    </w:p>
    <w:p w14:paraId="7111EC70" w14:textId="164DE1C2" w:rsidR="00F707C6" w:rsidRPr="00E01FC3" w:rsidRDefault="00F707C6" w:rsidP="00885C7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E01FC3">
        <w:rPr>
          <w:rFonts w:eastAsia="Times New Roman" w:cs="Times New Roman"/>
          <w:lang w:eastAsia="it-IT"/>
        </w:rPr>
        <w:t xml:space="preserve">Sul mercato </w:t>
      </w:r>
      <w:r w:rsidRPr="00E01FC3">
        <w:rPr>
          <w:rFonts w:eastAsia="Times New Roman" w:cs="Times New Roman"/>
          <w:b/>
          <w:lang w:eastAsia="it-IT"/>
        </w:rPr>
        <w:t>ExtraMOT</w:t>
      </w:r>
      <w:r w:rsidRPr="00E01FC3">
        <w:rPr>
          <w:rFonts w:eastAsia="Times New Roman" w:cs="Times New Roman"/>
          <w:lang w:eastAsia="it-IT"/>
        </w:rPr>
        <w:t xml:space="preserve">, i controvalori scambiati sono diminuiti del </w:t>
      </w:r>
      <w:r w:rsidR="000045B7" w:rsidRPr="00E01FC3">
        <w:rPr>
          <w:rFonts w:eastAsia="Times New Roman" w:cs="Times New Roman"/>
          <w:lang w:eastAsia="it-IT"/>
        </w:rPr>
        <w:t>2</w:t>
      </w:r>
      <w:r w:rsidR="00E01FC3" w:rsidRPr="00E01FC3">
        <w:rPr>
          <w:rFonts w:eastAsia="Times New Roman" w:cs="Times New Roman"/>
          <w:lang w:eastAsia="it-IT"/>
        </w:rPr>
        <w:t>9</w:t>
      </w:r>
      <w:r w:rsidRPr="00E01FC3">
        <w:rPr>
          <w:rFonts w:eastAsia="Times New Roman" w:cs="Times New Roman"/>
          <w:lang w:eastAsia="it-IT"/>
        </w:rPr>
        <w:t>,</w:t>
      </w:r>
      <w:r w:rsidR="0065669E" w:rsidRPr="00E01FC3">
        <w:rPr>
          <w:rFonts w:eastAsia="Times New Roman" w:cs="Times New Roman"/>
          <w:lang w:eastAsia="it-IT"/>
        </w:rPr>
        <w:t>8</w:t>
      </w:r>
      <w:r w:rsidR="00E01FC3" w:rsidRPr="00E01FC3">
        <w:rPr>
          <w:rFonts w:eastAsia="Times New Roman" w:cs="Times New Roman"/>
          <w:lang w:eastAsia="it-IT"/>
        </w:rPr>
        <w:t>6</w:t>
      </w:r>
      <w:r w:rsidRPr="00E01FC3">
        <w:rPr>
          <w:rFonts w:eastAsia="Times New Roman" w:cs="Times New Roman"/>
          <w:lang w:eastAsia="it-IT"/>
        </w:rPr>
        <w:t>%</w:t>
      </w:r>
      <w:r w:rsidR="000D1F99" w:rsidRPr="00E01FC3">
        <w:rPr>
          <w:rFonts w:eastAsia="Times New Roman" w:cs="Times New Roman"/>
          <w:lang w:eastAsia="it-IT"/>
        </w:rPr>
        <w:t>:</w:t>
      </w:r>
      <w:r w:rsidRPr="00E01FC3">
        <w:rPr>
          <w:rFonts w:eastAsia="Times New Roman" w:cs="Times New Roman"/>
          <w:lang w:eastAsia="it-IT"/>
        </w:rPr>
        <w:t xml:space="preserve"> </w:t>
      </w:r>
      <w:r w:rsidR="000D1F99" w:rsidRPr="00E01FC3">
        <w:rPr>
          <w:rFonts w:eastAsia="Times New Roman" w:cs="Times New Roman"/>
          <w:lang w:eastAsia="it-IT"/>
        </w:rPr>
        <w:t xml:space="preserve">complessivamente sono stati scambiati </w:t>
      </w:r>
      <w:r w:rsidR="000045B7" w:rsidRPr="00E01FC3">
        <w:rPr>
          <w:rFonts w:eastAsia="Times New Roman" w:cs="Times New Roman"/>
          <w:lang w:eastAsia="it-IT"/>
        </w:rPr>
        <w:t xml:space="preserve">circa </w:t>
      </w:r>
      <w:r w:rsidR="00E01FC3" w:rsidRPr="00E01FC3">
        <w:rPr>
          <w:rFonts w:eastAsia="Times New Roman" w:cs="Times New Roman"/>
          <w:lang w:eastAsia="it-IT"/>
        </w:rPr>
        <w:t xml:space="preserve">1 </w:t>
      </w:r>
      <w:r w:rsidR="000D1F99" w:rsidRPr="00E01FC3">
        <w:rPr>
          <w:rFonts w:eastAsia="Times New Roman" w:cs="Times New Roman"/>
          <w:lang w:eastAsia="it-IT"/>
        </w:rPr>
        <w:t>miliard</w:t>
      </w:r>
      <w:r w:rsidR="00E01FC3" w:rsidRPr="00E01FC3">
        <w:rPr>
          <w:rFonts w:eastAsia="Times New Roman" w:cs="Times New Roman"/>
          <w:lang w:eastAsia="it-IT"/>
        </w:rPr>
        <w:t>o</w:t>
      </w:r>
      <w:r w:rsidR="000D1F99" w:rsidRPr="00E01FC3">
        <w:rPr>
          <w:rFonts w:eastAsia="Times New Roman" w:cs="Times New Roman"/>
          <w:lang w:eastAsia="it-IT"/>
        </w:rPr>
        <w:t xml:space="preserve"> di euro di controvalore, a fronte di </w:t>
      </w:r>
      <w:r w:rsidR="000045B7" w:rsidRPr="00E01FC3">
        <w:rPr>
          <w:rFonts w:eastAsia="Times New Roman" w:cs="Times New Roman"/>
          <w:lang w:eastAsia="it-IT"/>
        </w:rPr>
        <w:t xml:space="preserve">circa </w:t>
      </w:r>
      <w:r w:rsidR="0065669E" w:rsidRPr="00E01FC3">
        <w:rPr>
          <w:rFonts w:eastAsia="Times New Roman" w:cs="Times New Roman"/>
          <w:lang w:eastAsia="it-IT"/>
        </w:rPr>
        <w:t>2</w:t>
      </w:r>
      <w:r w:rsidR="00E01FC3" w:rsidRPr="00E01FC3">
        <w:rPr>
          <w:rFonts w:eastAsia="Times New Roman" w:cs="Times New Roman"/>
          <w:lang w:eastAsia="it-IT"/>
        </w:rPr>
        <w:t>2</w:t>
      </w:r>
      <w:r w:rsidR="000D1F99" w:rsidRPr="00E01FC3">
        <w:rPr>
          <w:rFonts w:eastAsia="Times New Roman" w:cs="Times New Roman"/>
          <w:lang w:eastAsia="it-IT"/>
        </w:rPr>
        <w:t xml:space="preserve"> mila contratti</w:t>
      </w:r>
      <w:r w:rsidRPr="00E01FC3">
        <w:rPr>
          <w:rFonts w:eastAsia="Times New Roman" w:cs="Times New Roman"/>
          <w:lang w:eastAsia="it-IT"/>
        </w:rPr>
        <w:t xml:space="preserve">. </w:t>
      </w:r>
    </w:p>
    <w:p w14:paraId="1823A114" w14:textId="6FC53575" w:rsidR="00885C72" w:rsidRPr="0079494D" w:rsidRDefault="00885C72" w:rsidP="00885C72">
      <w:pPr>
        <w:spacing w:after="0" w:line="240" w:lineRule="auto"/>
        <w:jc w:val="both"/>
        <w:rPr>
          <w:rFonts w:eastAsia="Times New Roman" w:cs="Times New Roman"/>
          <w:highlight w:val="yellow"/>
          <w:lang w:eastAsia="it-IT"/>
        </w:rPr>
      </w:pPr>
    </w:p>
    <w:p w14:paraId="57A87D52" w14:textId="7676317A" w:rsidR="005E65C3" w:rsidRPr="00C439EB" w:rsidRDefault="005E65C3" w:rsidP="005E65C3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C439EB">
        <w:rPr>
          <w:rFonts w:eastAsia="Times New Roman" w:cs="Times New Roman"/>
          <w:lang w:eastAsia="it-IT"/>
        </w:rPr>
        <w:t>Su</w:t>
      </w:r>
      <w:r w:rsidR="001B394F" w:rsidRPr="00C439EB">
        <w:rPr>
          <w:rFonts w:eastAsia="Times New Roman" w:cs="Times New Roman"/>
          <w:lang w:eastAsia="it-IT"/>
        </w:rPr>
        <w:t>l mercato</w:t>
      </w:r>
      <w:r w:rsidRPr="00C439EB">
        <w:rPr>
          <w:rFonts w:eastAsia="Times New Roman" w:cs="Times New Roman"/>
          <w:lang w:eastAsia="it-IT"/>
        </w:rPr>
        <w:t xml:space="preserve"> </w:t>
      </w:r>
      <w:r w:rsidRPr="00C439EB">
        <w:rPr>
          <w:rFonts w:eastAsia="Times New Roman" w:cs="Times New Roman"/>
          <w:b/>
          <w:lang w:eastAsia="it-IT"/>
        </w:rPr>
        <w:t xml:space="preserve">EuroTLX </w:t>
      </w:r>
      <w:r w:rsidRPr="00C439EB">
        <w:rPr>
          <w:rFonts w:eastAsia="Times New Roman" w:cs="Times New Roman"/>
          <w:lang w:eastAsia="it-IT"/>
        </w:rPr>
        <w:t xml:space="preserve">diminuiscono </w:t>
      </w:r>
      <w:r w:rsidR="001D4C19" w:rsidRPr="00C439EB">
        <w:rPr>
          <w:rFonts w:eastAsia="Times New Roman" w:cs="Times New Roman"/>
          <w:lang w:eastAsia="it-IT"/>
        </w:rPr>
        <w:t>sia</w:t>
      </w:r>
      <w:r w:rsidRPr="00C439EB">
        <w:rPr>
          <w:rFonts w:eastAsia="Times New Roman" w:cs="Times New Roman"/>
          <w:lang w:eastAsia="it-IT"/>
        </w:rPr>
        <w:t xml:space="preserve"> </w:t>
      </w:r>
      <w:r w:rsidR="001D4C19" w:rsidRPr="00C439EB">
        <w:rPr>
          <w:rFonts w:eastAsia="Times New Roman" w:cs="Times New Roman"/>
          <w:lang w:eastAsia="it-IT"/>
        </w:rPr>
        <w:t xml:space="preserve">i </w:t>
      </w:r>
      <w:r w:rsidRPr="00C439EB">
        <w:rPr>
          <w:rFonts w:eastAsia="Times New Roman" w:cs="Times New Roman"/>
          <w:b/>
          <w:lang w:eastAsia="it-IT"/>
        </w:rPr>
        <w:t xml:space="preserve">controvalori </w:t>
      </w:r>
      <w:r w:rsidR="001D4C19" w:rsidRPr="00C439EB">
        <w:rPr>
          <w:rFonts w:eastAsia="Times New Roman" w:cs="Times New Roman"/>
          <w:lang w:eastAsia="it-IT"/>
        </w:rPr>
        <w:t>scambiati</w:t>
      </w:r>
      <w:r w:rsidR="001D4C19" w:rsidRPr="00C439EB">
        <w:rPr>
          <w:rFonts w:eastAsia="Times New Roman" w:cs="Times New Roman"/>
          <w:b/>
          <w:lang w:eastAsia="it-IT"/>
        </w:rPr>
        <w:t xml:space="preserve"> </w:t>
      </w:r>
      <w:r w:rsidR="001D4C19" w:rsidRPr="00C439EB">
        <w:rPr>
          <w:rFonts w:eastAsia="Times New Roman" w:cs="Times New Roman"/>
          <w:lang w:eastAsia="it-IT"/>
        </w:rPr>
        <w:t>in conto terzi</w:t>
      </w:r>
      <w:r w:rsidR="001D4C19" w:rsidRPr="00C439EB">
        <w:rPr>
          <w:rFonts w:eastAsia="Times New Roman" w:cs="Times New Roman"/>
          <w:b/>
          <w:lang w:eastAsia="it-IT"/>
        </w:rPr>
        <w:t xml:space="preserve"> </w:t>
      </w:r>
      <w:r w:rsidRPr="00C439EB">
        <w:rPr>
          <w:rFonts w:eastAsia="Times New Roman" w:cs="Times New Roman"/>
          <w:lang w:eastAsia="it-IT"/>
        </w:rPr>
        <w:t>(-</w:t>
      </w:r>
      <w:r w:rsidR="00C439EB" w:rsidRPr="00C439EB">
        <w:rPr>
          <w:rFonts w:eastAsia="Times New Roman" w:cs="Times New Roman"/>
          <w:lang w:eastAsia="it-IT"/>
        </w:rPr>
        <w:t>29</w:t>
      </w:r>
      <w:r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92</w:t>
      </w:r>
      <w:r w:rsidRPr="00C439EB">
        <w:rPr>
          <w:rFonts w:eastAsia="Times New Roman" w:cs="Times New Roman"/>
          <w:lang w:eastAsia="it-IT"/>
        </w:rPr>
        <w:t>%) che il numero di</w:t>
      </w:r>
      <w:r w:rsidRPr="00C439EB">
        <w:rPr>
          <w:rFonts w:eastAsia="Times New Roman" w:cs="Times New Roman"/>
          <w:b/>
          <w:lang w:eastAsia="it-IT"/>
        </w:rPr>
        <w:t xml:space="preserve"> </w:t>
      </w:r>
      <w:r w:rsidR="001D4C19" w:rsidRPr="00C439EB">
        <w:rPr>
          <w:rFonts w:eastAsia="Times New Roman" w:cs="Times New Roman"/>
          <w:b/>
          <w:lang w:eastAsia="it-IT"/>
        </w:rPr>
        <w:t xml:space="preserve">operazioni </w:t>
      </w:r>
      <w:r w:rsidR="001B394F" w:rsidRPr="00C439EB">
        <w:rPr>
          <w:rFonts w:eastAsia="Times New Roman" w:cs="Times New Roman"/>
          <w:lang w:eastAsia="it-IT"/>
        </w:rPr>
        <w:t>eseguite</w:t>
      </w:r>
      <w:r w:rsidR="001B394F" w:rsidRPr="00C439EB">
        <w:rPr>
          <w:rFonts w:eastAsia="Times New Roman" w:cs="Times New Roman"/>
          <w:b/>
          <w:lang w:eastAsia="it-IT"/>
        </w:rPr>
        <w:t xml:space="preserve"> </w:t>
      </w:r>
      <w:r w:rsidR="001B394F" w:rsidRPr="00C439EB">
        <w:rPr>
          <w:rFonts w:eastAsia="Times New Roman" w:cs="Times New Roman"/>
          <w:lang w:eastAsia="it-IT"/>
        </w:rPr>
        <w:t>in</w:t>
      </w:r>
      <w:r w:rsidR="001B394F" w:rsidRPr="00C439EB">
        <w:rPr>
          <w:rFonts w:eastAsia="Times New Roman" w:cs="Times New Roman"/>
          <w:b/>
          <w:lang w:eastAsia="it-IT"/>
        </w:rPr>
        <w:t xml:space="preserve"> </w:t>
      </w:r>
      <w:r w:rsidR="001D4C19" w:rsidRPr="00C439EB">
        <w:rPr>
          <w:rFonts w:eastAsia="Times New Roman" w:cs="Times New Roman"/>
          <w:lang w:eastAsia="it-IT"/>
        </w:rPr>
        <w:t>conto terzi</w:t>
      </w:r>
      <w:r w:rsidR="001D4C19" w:rsidRPr="00C439EB">
        <w:rPr>
          <w:rFonts w:eastAsia="Times New Roman" w:cs="Times New Roman"/>
          <w:b/>
          <w:lang w:eastAsia="it-IT"/>
        </w:rPr>
        <w:t xml:space="preserve"> </w:t>
      </w:r>
      <w:r w:rsidRPr="00C439EB">
        <w:rPr>
          <w:rFonts w:eastAsia="Times New Roman" w:cs="Times New Roman"/>
          <w:lang w:eastAsia="it-IT"/>
        </w:rPr>
        <w:t>(-</w:t>
      </w:r>
      <w:r w:rsidR="00C439EB" w:rsidRPr="00C439EB">
        <w:rPr>
          <w:rFonts w:eastAsia="Times New Roman" w:cs="Times New Roman"/>
          <w:lang w:eastAsia="it-IT"/>
        </w:rPr>
        <w:t>26</w:t>
      </w:r>
      <w:r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49</w:t>
      </w:r>
      <w:r w:rsidRPr="00C439EB">
        <w:rPr>
          <w:rFonts w:eastAsia="Times New Roman" w:cs="Times New Roman"/>
          <w:lang w:eastAsia="it-IT"/>
        </w:rPr>
        <w:t>%).</w:t>
      </w:r>
      <w:r w:rsidR="00E65DED" w:rsidRPr="00C439EB">
        <w:rPr>
          <w:rFonts w:eastAsia="Times New Roman" w:cs="Times New Roman"/>
          <w:lang w:eastAsia="it-IT"/>
        </w:rPr>
        <w:t xml:space="preserve"> </w:t>
      </w:r>
    </w:p>
    <w:p w14:paraId="75DC9DB5" w14:textId="77777777" w:rsidR="005E65C3" w:rsidRPr="003C5940" w:rsidRDefault="005E65C3" w:rsidP="007A2C2A">
      <w:pPr>
        <w:spacing w:after="0" w:line="240" w:lineRule="auto"/>
        <w:rPr>
          <w:rFonts w:eastAsia="Times New Roman" w:cs="Times New Roman"/>
          <w:lang w:eastAsia="it-IT"/>
        </w:rPr>
      </w:pPr>
    </w:p>
    <w:p w14:paraId="5609F0B7" w14:textId="18D9B5FE" w:rsidR="005E65C3" w:rsidRPr="00C439EB" w:rsidRDefault="005E65C3" w:rsidP="00AC6E7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C439EB">
        <w:rPr>
          <w:rFonts w:eastAsia="Times New Roman" w:cs="Times New Roman"/>
          <w:lang w:eastAsia="it-IT"/>
        </w:rPr>
        <w:t>Su</w:t>
      </w:r>
      <w:r w:rsidR="00534C1D" w:rsidRPr="00C439EB">
        <w:rPr>
          <w:rFonts w:eastAsia="Times New Roman" w:cs="Times New Roman"/>
          <w:lang w:eastAsia="it-IT"/>
        </w:rPr>
        <w:t>l mercato</w:t>
      </w:r>
      <w:r w:rsidRPr="00C439EB">
        <w:rPr>
          <w:rFonts w:eastAsia="Times New Roman" w:cs="Times New Roman"/>
          <w:b/>
          <w:lang w:eastAsia="it-IT"/>
        </w:rPr>
        <w:t xml:space="preserve"> HI-MTF</w:t>
      </w:r>
      <w:r w:rsidRPr="00C439EB">
        <w:rPr>
          <w:rFonts w:eastAsia="Times New Roman" w:cs="Times New Roman"/>
          <w:lang w:eastAsia="it-IT"/>
        </w:rPr>
        <w:t>,</w:t>
      </w:r>
      <w:r w:rsidRPr="00C439EB">
        <w:rPr>
          <w:rFonts w:eastAsia="Times New Roman" w:cs="Times New Roman"/>
          <w:b/>
          <w:lang w:eastAsia="it-IT"/>
        </w:rPr>
        <w:t xml:space="preserve"> </w:t>
      </w:r>
      <w:r w:rsidRPr="00C439EB">
        <w:rPr>
          <w:rFonts w:eastAsia="Times New Roman" w:cs="Times New Roman"/>
          <w:lang w:eastAsia="it-IT"/>
        </w:rPr>
        <w:t xml:space="preserve">il </w:t>
      </w:r>
      <w:r w:rsidRPr="00C439EB">
        <w:rPr>
          <w:rFonts w:eastAsia="Times New Roman" w:cs="Times New Roman"/>
          <w:b/>
          <w:lang w:eastAsia="it-IT"/>
        </w:rPr>
        <w:t>controvalore</w:t>
      </w:r>
      <w:r w:rsidRPr="00C439EB">
        <w:rPr>
          <w:rFonts w:eastAsia="Times New Roman" w:cs="Times New Roman"/>
          <w:lang w:eastAsia="it-IT"/>
        </w:rPr>
        <w:t xml:space="preserve"> scambiato in conto terzi è </w:t>
      </w:r>
      <w:r w:rsidR="00CB528F" w:rsidRPr="00C439EB">
        <w:rPr>
          <w:rFonts w:eastAsia="Times New Roman" w:cs="Times New Roman"/>
          <w:lang w:eastAsia="it-IT"/>
        </w:rPr>
        <w:t>diminuito</w:t>
      </w:r>
      <w:r w:rsidRPr="00C439EB">
        <w:rPr>
          <w:rFonts w:eastAsia="Times New Roman" w:cs="Times New Roman"/>
          <w:lang w:eastAsia="it-IT"/>
        </w:rPr>
        <w:t xml:space="preserve"> del </w:t>
      </w:r>
      <w:r w:rsidR="00C439EB" w:rsidRPr="00C439EB">
        <w:rPr>
          <w:rFonts w:eastAsia="Times New Roman" w:cs="Times New Roman"/>
          <w:lang w:eastAsia="it-IT"/>
        </w:rPr>
        <w:t>27</w:t>
      </w:r>
      <w:r w:rsidR="00CB528F"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02</w:t>
      </w:r>
      <w:r w:rsidRPr="00C439EB">
        <w:rPr>
          <w:rFonts w:eastAsia="Times New Roman" w:cs="Times New Roman"/>
          <w:lang w:eastAsia="it-IT"/>
        </w:rPr>
        <w:t>%</w:t>
      </w:r>
      <w:r w:rsidR="00453F04" w:rsidRPr="00C439EB">
        <w:rPr>
          <w:rFonts w:eastAsia="Times New Roman" w:cs="Times New Roman"/>
          <w:lang w:eastAsia="it-IT"/>
        </w:rPr>
        <w:t>,</w:t>
      </w:r>
      <w:r w:rsidRPr="00C439EB">
        <w:rPr>
          <w:rFonts w:eastAsia="Times New Roman" w:cs="Times New Roman"/>
          <w:lang w:eastAsia="it-IT"/>
        </w:rPr>
        <w:t xml:space="preserve"> </w:t>
      </w:r>
      <w:r w:rsidR="00F048E2" w:rsidRPr="00C439EB">
        <w:rPr>
          <w:rFonts w:eastAsia="Times New Roman" w:cs="Times New Roman"/>
          <w:lang w:eastAsia="it-IT"/>
        </w:rPr>
        <w:t xml:space="preserve">mentre </w:t>
      </w:r>
      <w:r w:rsidRPr="00C439EB">
        <w:rPr>
          <w:rFonts w:eastAsia="Times New Roman" w:cs="Times New Roman"/>
          <w:lang w:eastAsia="it-IT"/>
        </w:rPr>
        <w:t xml:space="preserve">il numero di </w:t>
      </w:r>
      <w:r w:rsidRPr="00C439EB">
        <w:rPr>
          <w:rFonts w:eastAsia="Times New Roman" w:cs="Times New Roman"/>
          <w:b/>
          <w:lang w:eastAsia="it-IT"/>
        </w:rPr>
        <w:t>operazioni</w:t>
      </w:r>
      <w:r w:rsidRPr="00C439EB">
        <w:rPr>
          <w:rFonts w:eastAsia="Times New Roman" w:cs="Times New Roman"/>
          <w:lang w:eastAsia="it-IT"/>
        </w:rPr>
        <w:t xml:space="preserve"> </w:t>
      </w:r>
      <w:r w:rsidR="001B394F" w:rsidRPr="00C439EB">
        <w:rPr>
          <w:rFonts w:eastAsia="Times New Roman" w:cs="Times New Roman"/>
          <w:lang w:eastAsia="it-IT"/>
        </w:rPr>
        <w:t>eseguite</w:t>
      </w:r>
      <w:r w:rsidR="001B394F" w:rsidRPr="00C439EB">
        <w:rPr>
          <w:rFonts w:eastAsia="Times New Roman" w:cs="Times New Roman"/>
          <w:b/>
          <w:lang w:eastAsia="it-IT"/>
        </w:rPr>
        <w:t xml:space="preserve"> </w:t>
      </w:r>
      <w:r w:rsidR="001B394F" w:rsidRPr="00C439EB">
        <w:rPr>
          <w:rFonts w:eastAsia="Times New Roman" w:cs="Times New Roman"/>
          <w:lang w:eastAsia="it-IT"/>
        </w:rPr>
        <w:t xml:space="preserve">in </w:t>
      </w:r>
      <w:r w:rsidR="001D4C19" w:rsidRPr="00C439EB">
        <w:rPr>
          <w:rFonts w:eastAsia="Times New Roman" w:cs="Times New Roman"/>
          <w:lang w:eastAsia="it-IT"/>
        </w:rPr>
        <w:t xml:space="preserve">conto terzi </w:t>
      </w:r>
      <w:r w:rsidRPr="00C439EB">
        <w:rPr>
          <w:rFonts w:eastAsia="Times New Roman" w:cs="Times New Roman"/>
          <w:lang w:eastAsia="it-IT"/>
        </w:rPr>
        <w:t xml:space="preserve">è diminuito del </w:t>
      </w:r>
      <w:r w:rsidR="00C439EB" w:rsidRPr="00C439EB">
        <w:rPr>
          <w:rFonts w:eastAsia="Times New Roman" w:cs="Times New Roman"/>
          <w:lang w:eastAsia="it-IT"/>
        </w:rPr>
        <w:t>23</w:t>
      </w:r>
      <w:r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88</w:t>
      </w:r>
      <w:r w:rsidRPr="00C439EB">
        <w:rPr>
          <w:rFonts w:eastAsia="Times New Roman" w:cs="Times New Roman"/>
          <w:lang w:eastAsia="it-IT"/>
        </w:rPr>
        <w:t>%.</w:t>
      </w:r>
    </w:p>
    <w:p w14:paraId="56648933" w14:textId="77777777" w:rsidR="005E65C3" w:rsidRPr="00C439EB" w:rsidRDefault="005E65C3" w:rsidP="007A2C2A">
      <w:pPr>
        <w:spacing w:after="0" w:line="240" w:lineRule="auto"/>
        <w:rPr>
          <w:rFonts w:eastAsia="Times New Roman" w:cs="Times New Roman"/>
          <w:lang w:eastAsia="it-IT"/>
        </w:rPr>
      </w:pPr>
    </w:p>
    <w:p w14:paraId="69F058DE" w14:textId="39D7DBEC" w:rsidR="005E65C3" w:rsidRPr="00C439EB" w:rsidRDefault="00F048E2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C439EB">
        <w:rPr>
          <w:rFonts w:eastAsia="Times New Roman" w:cs="Times New Roman"/>
          <w:lang w:eastAsia="it-IT"/>
        </w:rPr>
        <w:t>Su</w:t>
      </w:r>
      <w:r w:rsidR="00534C1D" w:rsidRPr="00C439EB">
        <w:rPr>
          <w:rFonts w:eastAsia="Times New Roman" w:cs="Times New Roman"/>
          <w:lang w:eastAsia="it-IT"/>
        </w:rPr>
        <w:t>l</w:t>
      </w:r>
      <w:r w:rsidRPr="00C439EB">
        <w:rPr>
          <w:rFonts w:eastAsia="Times New Roman" w:cs="Times New Roman"/>
          <w:lang w:eastAsia="it-IT"/>
        </w:rPr>
        <w:t xml:space="preserve"> </w:t>
      </w:r>
      <w:r w:rsidR="00534C1D" w:rsidRPr="00C439EB">
        <w:rPr>
          <w:rFonts w:eastAsia="Times New Roman" w:cs="Times New Roman"/>
          <w:lang w:eastAsia="it-IT"/>
        </w:rPr>
        <w:t xml:space="preserve">mercato </w:t>
      </w:r>
      <w:r w:rsidR="005E65C3" w:rsidRPr="00C439EB">
        <w:rPr>
          <w:rFonts w:eastAsia="Times New Roman" w:cs="Times New Roman"/>
          <w:b/>
          <w:lang w:eastAsia="it-IT"/>
        </w:rPr>
        <w:t>SeDeX</w:t>
      </w:r>
      <w:r w:rsidR="00453F04" w:rsidRPr="00C439EB">
        <w:rPr>
          <w:rFonts w:eastAsia="Times New Roman" w:cs="Times New Roman"/>
          <w:lang w:eastAsia="it-IT"/>
        </w:rPr>
        <w:t>,</w:t>
      </w:r>
      <w:r w:rsidRPr="00C439EB">
        <w:rPr>
          <w:rFonts w:eastAsia="Times New Roman" w:cs="Times New Roman"/>
          <w:b/>
          <w:lang w:eastAsia="it-IT"/>
        </w:rPr>
        <w:t xml:space="preserve"> </w:t>
      </w:r>
      <w:r w:rsidR="005E65C3" w:rsidRPr="00C439EB">
        <w:rPr>
          <w:rFonts w:eastAsia="Times New Roman" w:cs="Times New Roman"/>
          <w:lang w:eastAsia="it-IT"/>
        </w:rPr>
        <w:t xml:space="preserve">sono stati scambiati </w:t>
      </w:r>
      <w:r w:rsidR="005E65C3" w:rsidRPr="00C439EB">
        <w:rPr>
          <w:rFonts w:eastAsia="Times New Roman" w:cs="Times New Roman"/>
          <w:b/>
          <w:lang w:eastAsia="it-IT"/>
        </w:rPr>
        <w:t>controvalori</w:t>
      </w:r>
      <w:r w:rsidR="005E65C3" w:rsidRPr="00C439EB">
        <w:rPr>
          <w:rFonts w:eastAsia="Times New Roman" w:cs="Times New Roman"/>
          <w:lang w:eastAsia="it-IT"/>
        </w:rPr>
        <w:t xml:space="preserve"> per </w:t>
      </w:r>
      <w:r w:rsidR="00C439EB" w:rsidRPr="00C439EB">
        <w:rPr>
          <w:rFonts w:eastAsia="Times New Roman" w:cs="Times New Roman"/>
          <w:lang w:eastAsia="it-IT"/>
        </w:rPr>
        <w:t>10</w:t>
      </w:r>
      <w:r w:rsidR="005E65C3" w:rsidRPr="00C439EB">
        <w:rPr>
          <w:rFonts w:eastAsia="Times New Roman" w:cs="Times New Roman"/>
          <w:lang w:eastAsia="it-IT"/>
        </w:rPr>
        <w:t xml:space="preserve"> miliardi</w:t>
      </w:r>
      <w:r w:rsidR="00453F04" w:rsidRPr="00C439EB">
        <w:rPr>
          <w:rFonts w:eastAsia="Times New Roman" w:cs="Times New Roman"/>
          <w:lang w:eastAsia="it-IT"/>
        </w:rPr>
        <w:t>,</w:t>
      </w:r>
      <w:r w:rsidR="005E65C3" w:rsidRPr="00C439EB">
        <w:rPr>
          <w:rFonts w:eastAsia="Times New Roman" w:cs="Times New Roman"/>
          <w:lang w:eastAsia="it-IT"/>
        </w:rPr>
        <w:t xml:space="preserve"> </w:t>
      </w:r>
      <w:r w:rsidR="00415884" w:rsidRPr="00C439EB">
        <w:rPr>
          <w:rFonts w:eastAsia="Times New Roman" w:cs="Times New Roman"/>
          <w:lang w:eastAsia="it-IT"/>
        </w:rPr>
        <w:t xml:space="preserve">in </w:t>
      </w:r>
      <w:r w:rsidR="00C439EB" w:rsidRPr="00C439EB">
        <w:rPr>
          <w:rFonts w:eastAsia="Times New Roman" w:cs="Times New Roman"/>
          <w:lang w:eastAsia="it-IT"/>
        </w:rPr>
        <w:t xml:space="preserve">crescita </w:t>
      </w:r>
      <w:r w:rsidR="00415884" w:rsidRPr="00C439EB">
        <w:rPr>
          <w:rFonts w:eastAsia="Times New Roman" w:cs="Times New Roman"/>
          <w:lang w:eastAsia="it-IT"/>
        </w:rPr>
        <w:t xml:space="preserve">del </w:t>
      </w:r>
      <w:r w:rsidR="00C439EB" w:rsidRPr="00C439EB">
        <w:rPr>
          <w:rFonts w:eastAsia="Times New Roman" w:cs="Times New Roman"/>
          <w:lang w:eastAsia="it-IT"/>
        </w:rPr>
        <w:t>4</w:t>
      </w:r>
      <w:r w:rsidR="00415884"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8</w:t>
      </w:r>
      <w:r w:rsidR="000045B7" w:rsidRPr="00C439EB">
        <w:rPr>
          <w:rFonts w:eastAsia="Times New Roman" w:cs="Times New Roman"/>
          <w:lang w:eastAsia="it-IT"/>
        </w:rPr>
        <w:t>6</w:t>
      </w:r>
      <w:r w:rsidR="00415884" w:rsidRPr="00C439EB">
        <w:rPr>
          <w:rFonts w:eastAsia="Times New Roman" w:cs="Times New Roman"/>
          <w:lang w:eastAsia="it-IT"/>
        </w:rPr>
        <w:t>%</w:t>
      </w:r>
      <w:r w:rsidR="004F3ED9" w:rsidRPr="00C439EB">
        <w:rPr>
          <w:rFonts w:eastAsia="Times New Roman" w:cs="Times New Roman"/>
          <w:lang w:eastAsia="it-IT"/>
        </w:rPr>
        <w:t xml:space="preserve">, </w:t>
      </w:r>
      <w:r w:rsidR="00586A68" w:rsidRPr="00C439EB">
        <w:rPr>
          <w:rFonts w:eastAsia="Times New Roman" w:cs="Times New Roman"/>
          <w:lang w:eastAsia="it-IT"/>
        </w:rPr>
        <w:t>con</w:t>
      </w:r>
      <w:r w:rsidR="005E65C3" w:rsidRPr="00C439EB">
        <w:rPr>
          <w:rFonts w:eastAsia="Times New Roman" w:cs="Times New Roman"/>
          <w:lang w:eastAsia="it-IT"/>
        </w:rPr>
        <w:t xml:space="preserve"> </w:t>
      </w:r>
      <w:r w:rsidR="000045B7" w:rsidRPr="00C439EB">
        <w:rPr>
          <w:rFonts w:eastAsia="Times New Roman" w:cs="Times New Roman"/>
          <w:lang w:eastAsia="it-IT"/>
        </w:rPr>
        <w:t xml:space="preserve">circa </w:t>
      </w:r>
      <w:r w:rsidR="00C439EB" w:rsidRPr="00C439EB">
        <w:rPr>
          <w:rFonts w:eastAsia="Times New Roman" w:cs="Times New Roman"/>
          <w:lang w:eastAsia="it-IT"/>
        </w:rPr>
        <w:t>1</w:t>
      </w:r>
      <w:r w:rsidR="000045B7"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3</w:t>
      </w:r>
      <w:r w:rsidR="005E65C3" w:rsidRPr="00C439EB">
        <w:rPr>
          <w:rFonts w:eastAsia="Times New Roman" w:cs="Times New Roman"/>
          <w:lang w:eastAsia="it-IT"/>
        </w:rPr>
        <w:t xml:space="preserve"> milioni di </w:t>
      </w:r>
      <w:r w:rsidR="005E65C3" w:rsidRPr="00C439EB">
        <w:rPr>
          <w:rFonts w:eastAsia="Times New Roman" w:cs="Times New Roman"/>
          <w:b/>
          <w:lang w:eastAsia="it-IT"/>
        </w:rPr>
        <w:t>contratti</w:t>
      </w:r>
      <w:r w:rsidR="00453F04" w:rsidRPr="00C439EB">
        <w:rPr>
          <w:rFonts w:eastAsia="Times New Roman" w:cs="Times New Roman"/>
          <w:b/>
          <w:lang w:eastAsia="it-IT"/>
        </w:rPr>
        <w:t>,</w:t>
      </w:r>
      <w:r w:rsidR="005E65C3" w:rsidRPr="00C439EB">
        <w:rPr>
          <w:rFonts w:eastAsia="Times New Roman" w:cs="Times New Roman"/>
          <w:lang w:eastAsia="it-IT"/>
        </w:rPr>
        <w:t xml:space="preserve"> </w:t>
      </w:r>
      <w:r w:rsidR="00415884" w:rsidRPr="00C439EB">
        <w:rPr>
          <w:rFonts w:eastAsia="Times New Roman" w:cs="Times New Roman"/>
          <w:lang w:eastAsia="it-IT"/>
        </w:rPr>
        <w:t xml:space="preserve">in </w:t>
      </w:r>
      <w:r w:rsidR="00C439EB" w:rsidRPr="00C439EB">
        <w:rPr>
          <w:rFonts w:eastAsia="Times New Roman" w:cs="Times New Roman"/>
          <w:lang w:eastAsia="it-IT"/>
        </w:rPr>
        <w:t xml:space="preserve">crescita </w:t>
      </w:r>
      <w:r w:rsidR="00415884" w:rsidRPr="00C439EB">
        <w:rPr>
          <w:rFonts w:eastAsia="Times New Roman" w:cs="Times New Roman"/>
          <w:lang w:eastAsia="it-IT"/>
        </w:rPr>
        <w:t>del</w:t>
      </w:r>
      <w:r w:rsidR="00C439EB" w:rsidRPr="00C439EB">
        <w:rPr>
          <w:rFonts w:eastAsia="Times New Roman" w:cs="Times New Roman"/>
          <w:lang w:eastAsia="it-IT"/>
        </w:rPr>
        <w:t xml:space="preserve"> 5</w:t>
      </w:r>
      <w:r w:rsidR="005E65C3" w:rsidRPr="00C439EB">
        <w:rPr>
          <w:rFonts w:eastAsia="Times New Roman" w:cs="Times New Roman"/>
          <w:lang w:eastAsia="it-IT"/>
        </w:rPr>
        <w:t>,</w:t>
      </w:r>
      <w:r w:rsidR="000045B7" w:rsidRPr="00C439EB">
        <w:rPr>
          <w:rFonts w:eastAsia="Times New Roman" w:cs="Times New Roman"/>
          <w:lang w:eastAsia="it-IT"/>
        </w:rPr>
        <w:t>6</w:t>
      </w:r>
      <w:r w:rsidR="00C439EB" w:rsidRPr="00C439EB">
        <w:rPr>
          <w:rFonts w:eastAsia="Times New Roman" w:cs="Times New Roman"/>
          <w:lang w:eastAsia="it-IT"/>
        </w:rPr>
        <w:t>5</w:t>
      </w:r>
      <w:r w:rsidR="005E65C3" w:rsidRPr="00C439EB">
        <w:rPr>
          <w:rFonts w:eastAsia="Times New Roman" w:cs="Times New Roman"/>
          <w:lang w:eastAsia="it-IT"/>
        </w:rPr>
        <w:t xml:space="preserve">% </w:t>
      </w:r>
      <w:r w:rsidR="00345C32" w:rsidRPr="00C439EB">
        <w:rPr>
          <w:rFonts w:eastAsia="Times New Roman" w:cs="Times New Roman"/>
          <w:lang w:eastAsia="it-IT"/>
        </w:rPr>
        <w:t xml:space="preserve">sempre </w:t>
      </w:r>
      <w:r w:rsidR="005E65C3" w:rsidRPr="00C439EB">
        <w:rPr>
          <w:rFonts w:eastAsia="Times New Roman" w:cs="Times New Roman"/>
          <w:lang w:eastAsia="it-IT"/>
        </w:rPr>
        <w:t>rispetto al</w:t>
      </w:r>
      <w:r w:rsidR="00C439EB" w:rsidRPr="00C439EB">
        <w:rPr>
          <w:rFonts w:eastAsia="Times New Roman" w:cs="Times New Roman"/>
          <w:lang w:eastAsia="it-IT"/>
        </w:rPr>
        <w:t xml:space="preserve"> primo semestre </w:t>
      </w:r>
      <w:r w:rsidR="005E65C3" w:rsidRPr="00C439EB">
        <w:rPr>
          <w:rFonts w:eastAsia="Times New Roman" w:cs="Times New Roman"/>
          <w:lang w:eastAsia="it-IT"/>
        </w:rPr>
        <w:t>201</w:t>
      </w:r>
      <w:r w:rsidR="00C439EB" w:rsidRPr="00C439EB">
        <w:rPr>
          <w:rFonts w:eastAsia="Times New Roman" w:cs="Times New Roman"/>
          <w:lang w:eastAsia="it-IT"/>
        </w:rPr>
        <w:t>7</w:t>
      </w:r>
      <w:r w:rsidR="005E65C3" w:rsidRPr="00C439EB">
        <w:rPr>
          <w:rFonts w:eastAsia="Times New Roman" w:cs="Times New Roman"/>
          <w:lang w:eastAsia="it-IT"/>
        </w:rPr>
        <w:t xml:space="preserve">. </w:t>
      </w:r>
    </w:p>
    <w:p w14:paraId="448E39B4" w14:textId="77777777" w:rsidR="005E65C3" w:rsidRPr="0079494D" w:rsidRDefault="005E65C3" w:rsidP="007A2C2A">
      <w:pPr>
        <w:spacing w:after="0" w:line="240" w:lineRule="auto"/>
        <w:rPr>
          <w:rFonts w:eastAsia="Times New Roman" w:cs="Times New Roman"/>
          <w:highlight w:val="yellow"/>
          <w:lang w:eastAsia="it-IT"/>
        </w:rPr>
      </w:pPr>
    </w:p>
    <w:p w14:paraId="1F488E4D" w14:textId="4B724FDC" w:rsidR="005E65C3" w:rsidRPr="00C439EB" w:rsidRDefault="001B394F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C439EB">
        <w:rPr>
          <w:rFonts w:eastAsia="Times New Roman" w:cs="Times New Roman"/>
          <w:lang w:eastAsia="it-IT"/>
        </w:rPr>
        <w:t xml:space="preserve">In </w:t>
      </w:r>
      <w:r w:rsidR="00C439EB" w:rsidRPr="00C439EB">
        <w:rPr>
          <w:rFonts w:eastAsia="Times New Roman" w:cs="Times New Roman"/>
          <w:lang w:eastAsia="it-IT"/>
        </w:rPr>
        <w:t xml:space="preserve">crescita anche </w:t>
      </w:r>
      <w:r w:rsidR="005E65C3" w:rsidRPr="00C439EB">
        <w:rPr>
          <w:rFonts w:eastAsia="Times New Roman" w:cs="Times New Roman"/>
          <w:lang w:eastAsia="it-IT"/>
        </w:rPr>
        <w:t xml:space="preserve">il mercato </w:t>
      </w:r>
      <w:r w:rsidR="005E65C3" w:rsidRPr="00C439EB">
        <w:rPr>
          <w:rFonts w:eastAsia="Times New Roman" w:cs="Times New Roman"/>
          <w:b/>
          <w:lang w:eastAsia="it-IT"/>
        </w:rPr>
        <w:t>ETFplus</w:t>
      </w:r>
      <w:r w:rsidR="005E65C3" w:rsidRPr="00C439EB">
        <w:rPr>
          <w:rFonts w:eastAsia="Times New Roman" w:cs="Times New Roman"/>
          <w:lang w:eastAsia="it-IT"/>
        </w:rPr>
        <w:t xml:space="preserve">, dove sono stati conclusi </w:t>
      </w:r>
      <w:r w:rsidR="00C439EB" w:rsidRPr="00C439EB">
        <w:rPr>
          <w:rFonts w:eastAsia="Times New Roman" w:cs="Times New Roman"/>
          <w:lang w:eastAsia="it-IT"/>
        </w:rPr>
        <w:t>2</w:t>
      </w:r>
      <w:r w:rsidR="00345C32" w:rsidRPr="00C439EB">
        <w:rPr>
          <w:rFonts w:eastAsia="Times New Roman" w:cs="Times New Roman"/>
          <w:lang w:eastAsia="it-IT"/>
        </w:rPr>
        <w:t>,</w:t>
      </w:r>
      <w:r w:rsidR="00875087">
        <w:rPr>
          <w:rFonts w:eastAsia="Times New Roman" w:cs="Times New Roman"/>
          <w:lang w:eastAsia="it-IT"/>
        </w:rPr>
        <w:t>5</w:t>
      </w:r>
      <w:r w:rsidR="005E65C3" w:rsidRPr="00C439EB">
        <w:rPr>
          <w:rFonts w:eastAsia="Times New Roman" w:cs="Times New Roman"/>
          <w:lang w:eastAsia="it-IT"/>
        </w:rPr>
        <w:t xml:space="preserve"> milioni di </w:t>
      </w:r>
      <w:r w:rsidR="005E65C3" w:rsidRPr="00C439EB">
        <w:rPr>
          <w:rFonts w:eastAsia="Times New Roman" w:cs="Times New Roman"/>
          <w:b/>
          <w:lang w:eastAsia="it-IT"/>
        </w:rPr>
        <w:t>contratti</w:t>
      </w:r>
      <w:r w:rsidR="005E65C3" w:rsidRPr="00C439EB">
        <w:rPr>
          <w:rFonts w:eastAsia="Times New Roman" w:cs="Times New Roman"/>
          <w:lang w:eastAsia="it-IT"/>
        </w:rPr>
        <w:t xml:space="preserve"> (</w:t>
      </w:r>
      <w:r w:rsidR="00C439EB" w:rsidRPr="00C439EB">
        <w:rPr>
          <w:rFonts w:eastAsia="Times New Roman" w:cs="Times New Roman"/>
          <w:lang w:eastAsia="it-IT"/>
        </w:rPr>
        <w:t>+</w:t>
      </w:r>
      <w:r w:rsidR="005B494A" w:rsidRPr="00C439EB">
        <w:rPr>
          <w:rFonts w:eastAsia="Times New Roman" w:cs="Times New Roman"/>
          <w:lang w:eastAsia="it-IT"/>
        </w:rPr>
        <w:t>3</w:t>
      </w:r>
      <w:r w:rsidR="005E65C3"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1</w:t>
      </w:r>
      <w:r w:rsidR="005B494A" w:rsidRPr="00C439EB">
        <w:rPr>
          <w:rFonts w:eastAsia="Times New Roman" w:cs="Times New Roman"/>
          <w:lang w:eastAsia="it-IT"/>
        </w:rPr>
        <w:t>4</w:t>
      </w:r>
      <w:r w:rsidR="005E65C3" w:rsidRPr="00C439EB">
        <w:rPr>
          <w:rFonts w:eastAsia="Times New Roman" w:cs="Times New Roman"/>
          <w:lang w:eastAsia="it-IT"/>
        </w:rPr>
        <w:t>% rispetto al medesimo periodo del 201</w:t>
      </w:r>
      <w:r w:rsidR="00C439EB" w:rsidRPr="00C439EB">
        <w:rPr>
          <w:rFonts w:eastAsia="Times New Roman" w:cs="Times New Roman"/>
          <w:lang w:eastAsia="it-IT"/>
        </w:rPr>
        <w:t>7</w:t>
      </w:r>
      <w:r w:rsidR="005E65C3" w:rsidRPr="00C439EB">
        <w:rPr>
          <w:rFonts w:eastAsia="Times New Roman" w:cs="Times New Roman"/>
          <w:lang w:eastAsia="it-IT"/>
        </w:rPr>
        <w:t xml:space="preserve">) per un </w:t>
      </w:r>
      <w:r w:rsidR="005E65C3" w:rsidRPr="00C439EB">
        <w:rPr>
          <w:rFonts w:eastAsia="Times New Roman" w:cs="Times New Roman"/>
          <w:b/>
          <w:lang w:eastAsia="it-IT"/>
        </w:rPr>
        <w:t>controvalore</w:t>
      </w:r>
      <w:r w:rsidR="005E65C3" w:rsidRPr="00C439EB">
        <w:rPr>
          <w:rFonts w:eastAsia="Times New Roman" w:cs="Times New Roman"/>
          <w:lang w:eastAsia="it-IT"/>
        </w:rPr>
        <w:t xml:space="preserve"> di </w:t>
      </w:r>
      <w:r w:rsidR="00345C32" w:rsidRPr="00C439EB">
        <w:rPr>
          <w:rFonts w:eastAsia="Times New Roman" w:cs="Times New Roman"/>
          <w:lang w:eastAsia="it-IT"/>
        </w:rPr>
        <w:t xml:space="preserve">circa </w:t>
      </w:r>
      <w:r w:rsidR="00C439EB" w:rsidRPr="00C439EB">
        <w:rPr>
          <w:rFonts w:eastAsia="Times New Roman" w:cs="Times New Roman"/>
          <w:lang w:eastAsia="it-IT"/>
        </w:rPr>
        <w:t>60</w:t>
      </w:r>
      <w:r w:rsidR="005E65C3" w:rsidRPr="00C439EB">
        <w:rPr>
          <w:rFonts w:eastAsia="Times New Roman" w:cs="Times New Roman"/>
          <w:lang w:eastAsia="it-IT"/>
        </w:rPr>
        <w:t xml:space="preserve"> miliardi </w:t>
      </w:r>
      <w:r w:rsidR="00453F04" w:rsidRPr="00C439EB">
        <w:rPr>
          <w:rFonts w:eastAsia="Times New Roman" w:cs="Times New Roman"/>
          <w:lang w:eastAsia="it-IT"/>
        </w:rPr>
        <w:t xml:space="preserve">di euro </w:t>
      </w:r>
      <w:r w:rsidR="005E65C3" w:rsidRPr="00C439EB">
        <w:rPr>
          <w:rFonts w:eastAsia="Times New Roman" w:cs="Times New Roman"/>
          <w:lang w:eastAsia="it-IT"/>
        </w:rPr>
        <w:t>(</w:t>
      </w:r>
      <w:r w:rsidR="00C439EB" w:rsidRPr="00C439EB">
        <w:rPr>
          <w:rFonts w:eastAsia="Times New Roman" w:cs="Times New Roman"/>
          <w:lang w:eastAsia="it-IT"/>
        </w:rPr>
        <w:t>+15</w:t>
      </w:r>
      <w:r w:rsidR="005E65C3" w:rsidRPr="00C439EB">
        <w:rPr>
          <w:rFonts w:eastAsia="Times New Roman" w:cs="Times New Roman"/>
          <w:lang w:eastAsia="it-IT"/>
        </w:rPr>
        <w:t>,</w:t>
      </w:r>
      <w:r w:rsidR="00C439EB" w:rsidRPr="00C439EB">
        <w:rPr>
          <w:rFonts w:eastAsia="Times New Roman" w:cs="Times New Roman"/>
          <w:lang w:eastAsia="it-IT"/>
        </w:rPr>
        <w:t>51</w:t>
      </w:r>
      <w:r w:rsidR="005E65C3" w:rsidRPr="00C439EB">
        <w:rPr>
          <w:rFonts w:eastAsia="Times New Roman" w:cs="Times New Roman"/>
          <w:lang w:eastAsia="it-IT"/>
        </w:rPr>
        <w:t>% rispetto al</w:t>
      </w:r>
      <w:r w:rsidR="00C439EB" w:rsidRPr="00C439EB">
        <w:rPr>
          <w:rFonts w:eastAsia="Times New Roman" w:cs="Times New Roman"/>
          <w:lang w:eastAsia="it-IT"/>
        </w:rPr>
        <w:t xml:space="preserve"> primo semestre </w:t>
      </w:r>
      <w:r w:rsidR="00415884" w:rsidRPr="00C439EB">
        <w:rPr>
          <w:rFonts w:eastAsia="Times New Roman" w:cs="Times New Roman"/>
          <w:lang w:eastAsia="it-IT"/>
        </w:rPr>
        <w:t>201</w:t>
      </w:r>
      <w:r w:rsidR="00C439EB" w:rsidRPr="00C439EB">
        <w:rPr>
          <w:rFonts w:eastAsia="Times New Roman" w:cs="Times New Roman"/>
          <w:lang w:eastAsia="it-IT"/>
        </w:rPr>
        <w:t>7</w:t>
      </w:r>
      <w:r w:rsidRPr="00C439EB">
        <w:rPr>
          <w:rFonts w:eastAsia="Times New Roman" w:cs="Times New Roman"/>
          <w:lang w:eastAsia="it-IT"/>
        </w:rPr>
        <w:t>)</w:t>
      </w:r>
      <w:r w:rsidR="005E65C3" w:rsidRPr="00C439EB">
        <w:rPr>
          <w:rFonts w:eastAsia="Times New Roman" w:cs="Times New Roman"/>
          <w:lang w:eastAsia="it-IT"/>
        </w:rPr>
        <w:t xml:space="preserve">. </w:t>
      </w:r>
    </w:p>
    <w:p w14:paraId="3D87E6A1" w14:textId="77777777" w:rsidR="005E65C3" w:rsidRPr="0079494D" w:rsidRDefault="005E65C3" w:rsidP="007A2C2A">
      <w:pPr>
        <w:spacing w:after="0" w:line="240" w:lineRule="auto"/>
        <w:rPr>
          <w:rFonts w:eastAsia="Times New Roman" w:cs="Times New Roman"/>
          <w:highlight w:val="yellow"/>
          <w:lang w:eastAsia="it-IT"/>
        </w:rPr>
      </w:pPr>
    </w:p>
    <w:p w14:paraId="21A79358" w14:textId="00FFEFFA" w:rsidR="005E65C3" w:rsidRPr="00E41793" w:rsidRDefault="00E41793" w:rsidP="00CF609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val="en-US" w:eastAsia="it-IT"/>
        </w:rPr>
      </w:pPr>
      <w:r w:rsidRPr="00E41793">
        <w:rPr>
          <w:rFonts w:eastAsia="Times New Roman" w:cs="Times New Roman"/>
          <w:lang w:eastAsia="it-IT"/>
        </w:rPr>
        <w:t>P</w:t>
      </w:r>
      <w:r w:rsidR="00D539A1" w:rsidRPr="00E41793">
        <w:rPr>
          <w:rFonts w:eastAsia="Times New Roman" w:cs="Times New Roman"/>
          <w:lang w:eastAsia="it-IT"/>
        </w:rPr>
        <w:t>ositiv</w:t>
      </w:r>
      <w:r w:rsidRPr="00E41793">
        <w:rPr>
          <w:rFonts w:eastAsia="Times New Roman" w:cs="Times New Roman"/>
          <w:lang w:eastAsia="it-IT"/>
        </w:rPr>
        <w:t>o</w:t>
      </w:r>
      <w:r w:rsidR="00D539A1" w:rsidRPr="00E41793">
        <w:rPr>
          <w:rFonts w:eastAsia="Times New Roman" w:cs="Times New Roman"/>
          <w:lang w:eastAsia="it-IT"/>
        </w:rPr>
        <w:t xml:space="preserve"> </w:t>
      </w:r>
      <w:r w:rsidR="005E65C3" w:rsidRPr="00E41793">
        <w:rPr>
          <w:rFonts w:eastAsia="Times New Roman" w:cs="Times New Roman"/>
          <w:lang w:eastAsia="it-IT"/>
        </w:rPr>
        <w:t xml:space="preserve">il mercato degli strumenti finanziari derivati </w:t>
      </w:r>
      <w:r w:rsidR="005E65C3" w:rsidRPr="00E41793">
        <w:rPr>
          <w:rFonts w:eastAsia="Times New Roman" w:cs="Times New Roman"/>
          <w:b/>
          <w:lang w:eastAsia="it-IT"/>
        </w:rPr>
        <w:t>IDEM</w:t>
      </w:r>
      <w:r w:rsidR="005E65C3" w:rsidRPr="00E41793">
        <w:rPr>
          <w:rFonts w:eastAsia="Times New Roman" w:cs="Times New Roman"/>
          <w:lang w:eastAsia="it-IT"/>
        </w:rPr>
        <w:t xml:space="preserve">: in totale sono stati scambiati </w:t>
      </w:r>
      <w:r w:rsidRPr="00E41793">
        <w:rPr>
          <w:rFonts w:eastAsia="Times New Roman" w:cs="Times New Roman"/>
          <w:lang w:eastAsia="it-IT"/>
        </w:rPr>
        <w:t>2</w:t>
      </w:r>
      <w:r w:rsidR="00774719">
        <w:rPr>
          <w:rFonts w:eastAsia="Times New Roman" w:cs="Times New Roman"/>
          <w:lang w:eastAsia="it-IT"/>
        </w:rPr>
        <w:t>1</w:t>
      </w:r>
      <w:r w:rsidR="005E65C3" w:rsidRPr="00E41793">
        <w:rPr>
          <w:rFonts w:eastAsia="Times New Roman" w:cs="Times New Roman"/>
          <w:lang w:eastAsia="it-IT"/>
        </w:rPr>
        <w:t xml:space="preserve"> milioni di contratti (</w:t>
      </w:r>
      <w:r w:rsidRPr="00E41793">
        <w:rPr>
          <w:rFonts w:eastAsia="Times New Roman" w:cs="Times New Roman"/>
          <w:lang w:eastAsia="it-IT"/>
        </w:rPr>
        <w:t>+1,44</w:t>
      </w:r>
      <w:r w:rsidR="005E65C3" w:rsidRPr="00E41793">
        <w:rPr>
          <w:rFonts w:eastAsia="Times New Roman" w:cs="Times New Roman"/>
          <w:lang w:eastAsia="it-IT"/>
        </w:rPr>
        <w:t xml:space="preserve">% rispetto </w:t>
      </w:r>
      <w:r w:rsidR="00415884" w:rsidRPr="00E41793">
        <w:rPr>
          <w:rFonts w:eastAsia="Times New Roman" w:cs="Times New Roman"/>
          <w:lang w:eastAsia="it-IT"/>
        </w:rPr>
        <w:t>al</w:t>
      </w:r>
      <w:r w:rsidR="00586A68" w:rsidRPr="00E41793">
        <w:rPr>
          <w:rFonts w:eastAsia="Times New Roman" w:cs="Times New Roman"/>
          <w:lang w:eastAsia="it-IT"/>
        </w:rPr>
        <w:t>la chiusura del</w:t>
      </w:r>
      <w:r w:rsidR="00345C32" w:rsidRPr="00E41793">
        <w:rPr>
          <w:rFonts w:eastAsia="Times New Roman" w:cs="Times New Roman"/>
          <w:lang w:eastAsia="it-IT"/>
        </w:rPr>
        <w:t xml:space="preserve">lo scorso </w:t>
      </w:r>
      <w:r w:rsidR="008D4D08">
        <w:rPr>
          <w:rFonts w:eastAsia="Times New Roman" w:cs="Times New Roman"/>
          <w:lang w:eastAsia="it-IT"/>
        </w:rPr>
        <w:t>semestre</w:t>
      </w:r>
      <w:r w:rsidR="00345C32" w:rsidRPr="00E41793">
        <w:rPr>
          <w:rFonts w:eastAsia="Times New Roman" w:cs="Times New Roman"/>
          <w:lang w:eastAsia="it-IT"/>
        </w:rPr>
        <w:t>)</w:t>
      </w:r>
      <w:r w:rsidR="005E65C3" w:rsidRPr="00E41793">
        <w:rPr>
          <w:rFonts w:eastAsia="Times New Roman" w:cs="Times New Roman"/>
          <w:lang w:eastAsia="it-IT"/>
        </w:rPr>
        <w:t xml:space="preserve">. </w:t>
      </w:r>
      <w:r w:rsidR="00E025A5">
        <w:rPr>
          <w:rFonts w:eastAsia="Times New Roman" w:cs="Times New Roman"/>
          <w:lang w:eastAsia="it-IT"/>
        </w:rPr>
        <w:t>In</w:t>
      </w:r>
      <w:r w:rsidRPr="00E41793">
        <w:rPr>
          <w:rFonts w:eastAsia="Times New Roman" w:cs="Times New Roman"/>
          <w:lang w:eastAsia="it-IT"/>
        </w:rPr>
        <w:t xml:space="preserve"> </w:t>
      </w:r>
      <w:r w:rsidR="007841BD" w:rsidRPr="00E41793">
        <w:rPr>
          <w:rFonts w:eastAsia="Times New Roman" w:cs="Times New Roman"/>
          <w:lang w:val="en-US" w:eastAsia="it-IT"/>
        </w:rPr>
        <w:t>dettaglio</w:t>
      </w:r>
      <w:r w:rsidR="005E65C3" w:rsidRPr="00E41793">
        <w:rPr>
          <w:rFonts w:eastAsia="Times New Roman" w:cs="Times New Roman"/>
          <w:lang w:val="en-US" w:eastAsia="it-IT"/>
        </w:rPr>
        <w:t>: Index Futures (</w:t>
      </w:r>
      <w:r w:rsidRPr="00E41793">
        <w:rPr>
          <w:rFonts w:eastAsia="Times New Roman" w:cs="Times New Roman"/>
          <w:lang w:val="en-US" w:eastAsia="it-IT"/>
        </w:rPr>
        <w:t>+14</w:t>
      </w:r>
      <w:r w:rsidR="005E65C3" w:rsidRPr="00E41793">
        <w:rPr>
          <w:rFonts w:eastAsia="Times New Roman" w:cs="Times New Roman"/>
          <w:lang w:val="en-US" w:eastAsia="it-IT"/>
        </w:rPr>
        <w:t>,</w:t>
      </w:r>
      <w:r w:rsidRPr="00E41793">
        <w:rPr>
          <w:rFonts w:eastAsia="Times New Roman" w:cs="Times New Roman"/>
          <w:lang w:val="en-US" w:eastAsia="it-IT"/>
        </w:rPr>
        <w:t>20</w:t>
      </w:r>
      <w:r w:rsidR="005E65C3" w:rsidRPr="00E41793">
        <w:rPr>
          <w:rFonts w:eastAsia="Times New Roman" w:cs="Times New Roman"/>
          <w:lang w:val="en-US" w:eastAsia="it-IT"/>
        </w:rPr>
        <w:t>%), Index MiniFutures (</w:t>
      </w:r>
      <w:r w:rsidRPr="00E41793">
        <w:rPr>
          <w:rFonts w:eastAsia="Times New Roman" w:cs="Times New Roman"/>
          <w:lang w:val="en-US" w:eastAsia="it-IT"/>
        </w:rPr>
        <w:t>+26</w:t>
      </w:r>
      <w:r w:rsidR="005E65C3" w:rsidRPr="00E41793">
        <w:rPr>
          <w:rFonts w:eastAsia="Times New Roman" w:cs="Times New Roman"/>
          <w:lang w:val="en-US" w:eastAsia="it-IT"/>
        </w:rPr>
        <w:t>,</w:t>
      </w:r>
      <w:r w:rsidRPr="00E41793">
        <w:rPr>
          <w:rFonts w:eastAsia="Times New Roman" w:cs="Times New Roman"/>
          <w:lang w:val="en-US" w:eastAsia="it-IT"/>
        </w:rPr>
        <w:t>62</w:t>
      </w:r>
      <w:r w:rsidR="005E65C3" w:rsidRPr="00E41793">
        <w:rPr>
          <w:rFonts w:eastAsia="Times New Roman" w:cs="Times New Roman"/>
          <w:lang w:val="en-US" w:eastAsia="it-IT"/>
        </w:rPr>
        <w:t>%), Index Option (</w:t>
      </w:r>
      <w:r w:rsidRPr="00E41793">
        <w:rPr>
          <w:rFonts w:eastAsia="Times New Roman" w:cs="Times New Roman"/>
          <w:lang w:val="en-US" w:eastAsia="it-IT"/>
        </w:rPr>
        <w:t>+31</w:t>
      </w:r>
      <w:r w:rsidR="005E65C3" w:rsidRPr="00E41793">
        <w:rPr>
          <w:rFonts w:eastAsia="Times New Roman" w:cs="Times New Roman"/>
          <w:lang w:val="en-US" w:eastAsia="it-IT"/>
        </w:rPr>
        <w:t>,</w:t>
      </w:r>
      <w:r w:rsidR="00345C32" w:rsidRPr="00E41793">
        <w:rPr>
          <w:rFonts w:eastAsia="Times New Roman" w:cs="Times New Roman"/>
          <w:lang w:val="en-US" w:eastAsia="it-IT"/>
        </w:rPr>
        <w:t>9</w:t>
      </w:r>
      <w:r w:rsidRPr="00E41793">
        <w:rPr>
          <w:rFonts w:eastAsia="Times New Roman" w:cs="Times New Roman"/>
          <w:lang w:val="en-US" w:eastAsia="it-IT"/>
        </w:rPr>
        <w:t>6</w:t>
      </w:r>
      <w:r w:rsidR="005E65C3" w:rsidRPr="00E41793">
        <w:rPr>
          <w:rFonts w:eastAsia="Times New Roman" w:cs="Times New Roman"/>
          <w:lang w:val="en-US" w:eastAsia="it-IT"/>
        </w:rPr>
        <w:t>%), Stock Futures (</w:t>
      </w:r>
      <w:r w:rsidRPr="00E41793">
        <w:rPr>
          <w:rFonts w:eastAsia="Times New Roman" w:cs="Times New Roman"/>
          <w:lang w:val="en-US" w:eastAsia="it-IT"/>
        </w:rPr>
        <w:t>+3</w:t>
      </w:r>
      <w:r w:rsidR="00260B91" w:rsidRPr="00E41793">
        <w:rPr>
          <w:rFonts w:eastAsia="Times New Roman" w:cs="Times New Roman"/>
          <w:lang w:val="en-US" w:eastAsia="it-IT"/>
        </w:rPr>
        <w:t>,</w:t>
      </w:r>
      <w:r w:rsidR="00345C32" w:rsidRPr="00E41793">
        <w:rPr>
          <w:rFonts w:eastAsia="Times New Roman" w:cs="Times New Roman"/>
          <w:lang w:val="en-US" w:eastAsia="it-IT"/>
        </w:rPr>
        <w:t>05</w:t>
      </w:r>
      <w:r w:rsidR="00260B91" w:rsidRPr="00E41793">
        <w:rPr>
          <w:rFonts w:eastAsia="Times New Roman" w:cs="Times New Roman"/>
          <w:lang w:val="en-US" w:eastAsia="it-IT"/>
        </w:rPr>
        <w:t>%</w:t>
      </w:r>
      <w:r w:rsidR="005E65C3" w:rsidRPr="00E41793">
        <w:rPr>
          <w:rFonts w:eastAsia="Times New Roman" w:cs="Times New Roman"/>
          <w:lang w:val="en-US" w:eastAsia="it-IT"/>
        </w:rPr>
        <w:t>)</w:t>
      </w:r>
      <w:r w:rsidRPr="00E41793">
        <w:rPr>
          <w:rFonts w:eastAsia="Times New Roman" w:cs="Times New Roman"/>
          <w:lang w:val="en-US" w:eastAsia="it-IT"/>
        </w:rPr>
        <w:t>. In controtendenza: Single Stock Dividend Futures (-</w:t>
      </w:r>
      <w:r w:rsidR="00774719">
        <w:rPr>
          <w:rFonts w:eastAsia="Times New Roman" w:cs="Times New Roman"/>
          <w:lang w:val="en-US" w:eastAsia="it-IT"/>
        </w:rPr>
        <w:t>96</w:t>
      </w:r>
      <w:r w:rsidRPr="00E41793">
        <w:rPr>
          <w:rFonts w:eastAsia="Times New Roman" w:cs="Times New Roman"/>
          <w:lang w:val="en-US" w:eastAsia="it-IT"/>
        </w:rPr>
        <w:t>,1</w:t>
      </w:r>
      <w:r w:rsidR="00774719">
        <w:rPr>
          <w:rFonts w:eastAsia="Times New Roman" w:cs="Times New Roman"/>
          <w:lang w:val="en-US" w:eastAsia="it-IT"/>
        </w:rPr>
        <w:t>4</w:t>
      </w:r>
      <w:r w:rsidRPr="00E41793">
        <w:rPr>
          <w:rFonts w:eastAsia="Times New Roman" w:cs="Times New Roman"/>
          <w:lang w:val="en-US" w:eastAsia="it-IT"/>
        </w:rPr>
        <w:t xml:space="preserve">%) </w:t>
      </w:r>
      <w:r w:rsidR="006A64DE" w:rsidRPr="00E41793">
        <w:rPr>
          <w:rFonts w:eastAsia="Times New Roman" w:cs="Times New Roman"/>
          <w:lang w:val="en-US" w:eastAsia="it-IT"/>
        </w:rPr>
        <w:t>Stock Option (</w:t>
      </w:r>
      <w:r w:rsidRPr="00E41793">
        <w:rPr>
          <w:rFonts w:eastAsia="Times New Roman" w:cs="Times New Roman"/>
          <w:lang w:val="en-US" w:eastAsia="it-IT"/>
        </w:rPr>
        <w:t>-10</w:t>
      </w:r>
      <w:r w:rsidR="006A64DE" w:rsidRPr="00E41793">
        <w:rPr>
          <w:rFonts w:eastAsia="Times New Roman" w:cs="Times New Roman"/>
          <w:lang w:val="en-US" w:eastAsia="it-IT"/>
        </w:rPr>
        <w:t>,3</w:t>
      </w:r>
      <w:r w:rsidRPr="00E41793">
        <w:rPr>
          <w:rFonts w:eastAsia="Times New Roman" w:cs="Times New Roman"/>
          <w:lang w:val="en-US" w:eastAsia="it-IT"/>
        </w:rPr>
        <w:t>6</w:t>
      </w:r>
      <w:r w:rsidR="006A64DE" w:rsidRPr="00E41793">
        <w:rPr>
          <w:rFonts w:eastAsia="Times New Roman" w:cs="Times New Roman"/>
          <w:lang w:val="en-US" w:eastAsia="it-IT"/>
        </w:rPr>
        <w:t>%)</w:t>
      </w:r>
      <w:r w:rsidRPr="00E41793">
        <w:rPr>
          <w:rFonts w:eastAsia="Times New Roman" w:cs="Times New Roman"/>
          <w:lang w:val="en-US" w:eastAsia="it-IT"/>
        </w:rPr>
        <w:t>,</w:t>
      </w:r>
      <w:r w:rsidR="006A64DE" w:rsidRPr="00E41793">
        <w:rPr>
          <w:rFonts w:eastAsia="Times New Roman" w:cs="Times New Roman"/>
          <w:lang w:val="en-US" w:eastAsia="it-IT"/>
        </w:rPr>
        <w:t xml:space="preserve"> </w:t>
      </w:r>
      <w:r w:rsidR="005E65C3" w:rsidRPr="00E41793">
        <w:rPr>
          <w:rFonts w:eastAsia="Times New Roman" w:cs="Times New Roman"/>
          <w:lang w:val="en-US" w:eastAsia="it-IT"/>
        </w:rPr>
        <w:t>Electricity Futures (-</w:t>
      </w:r>
      <w:r w:rsidRPr="00E41793">
        <w:rPr>
          <w:rFonts w:eastAsia="Times New Roman" w:cs="Times New Roman"/>
          <w:lang w:val="en-US" w:eastAsia="it-IT"/>
        </w:rPr>
        <w:t>25</w:t>
      </w:r>
      <w:r w:rsidR="005E65C3" w:rsidRPr="00E41793">
        <w:rPr>
          <w:rFonts w:eastAsia="Times New Roman" w:cs="Times New Roman"/>
          <w:lang w:val="en-US" w:eastAsia="it-IT"/>
        </w:rPr>
        <w:t>,</w:t>
      </w:r>
      <w:r w:rsidRPr="00E41793">
        <w:rPr>
          <w:rFonts w:eastAsia="Times New Roman" w:cs="Times New Roman"/>
          <w:lang w:val="en-US" w:eastAsia="it-IT"/>
        </w:rPr>
        <w:t>1</w:t>
      </w:r>
      <w:r w:rsidR="00345C32" w:rsidRPr="00E41793">
        <w:rPr>
          <w:rFonts w:eastAsia="Times New Roman" w:cs="Times New Roman"/>
          <w:lang w:val="en-US" w:eastAsia="it-IT"/>
        </w:rPr>
        <w:t>6</w:t>
      </w:r>
      <w:r w:rsidR="005E65C3" w:rsidRPr="00E41793">
        <w:rPr>
          <w:rFonts w:eastAsia="Times New Roman" w:cs="Times New Roman"/>
          <w:lang w:val="en-US" w:eastAsia="it-IT"/>
        </w:rPr>
        <w:t>%)</w:t>
      </w:r>
      <w:r w:rsidR="0007572A" w:rsidRPr="00E41793">
        <w:rPr>
          <w:rFonts w:eastAsia="Times New Roman" w:cs="Times New Roman"/>
          <w:lang w:val="en-US" w:eastAsia="it-IT"/>
        </w:rPr>
        <w:t>.</w:t>
      </w:r>
    </w:p>
    <w:p w14:paraId="34CC5D2D" w14:textId="77777777" w:rsidR="005E65C3" w:rsidRPr="000E460B" w:rsidRDefault="005E65C3" w:rsidP="007A2C2A">
      <w:pPr>
        <w:spacing w:after="0" w:line="240" w:lineRule="auto"/>
        <w:rPr>
          <w:rFonts w:eastAsia="Times New Roman" w:cs="Times New Roman"/>
          <w:lang w:val="en-US" w:eastAsia="it-IT"/>
        </w:rPr>
      </w:pPr>
    </w:p>
    <w:p w14:paraId="1F1F68C2" w14:textId="1696E99B" w:rsidR="005E65C3" w:rsidRPr="000E460B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0E460B">
        <w:rPr>
          <w:rFonts w:eastAsia="Times New Roman" w:cs="Times New Roman"/>
          <w:lang w:eastAsia="it-IT"/>
        </w:rPr>
        <w:t xml:space="preserve">Dalle classifiche riferite ai volumi intermediati </w:t>
      </w:r>
      <w:r w:rsidRPr="000E460B">
        <w:rPr>
          <w:rFonts w:eastAsia="Times New Roman" w:cs="Times New Roman"/>
          <w:b/>
          <w:lang w:eastAsia="it-IT"/>
        </w:rPr>
        <w:t>in conto terzi</w:t>
      </w:r>
      <w:r w:rsidRPr="000E460B">
        <w:rPr>
          <w:rFonts w:eastAsia="Times New Roman" w:cs="Times New Roman"/>
          <w:lang w:eastAsia="it-IT"/>
        </w:rPr>
        <w:t xml:space="preserve"> nei vari mercati gestiti da </w:t>
      </w:r>
      <w:r w:rsidRPr="000E460B">
        <w:rPr>
          <w:rFonts w:eastAsia="Times New Roman" w:cs="Times New Roman"/>
          <w:b/>
          <w:lang w:eastAsia="it-IT"/>
        </w:rPr>
        <w:t>BORSA ITALIANA S.p.A.</w:t>
      </w:r>
      <w:r w:rsidRPr="000E460B">
        <w:rPr>
          <w:rFonts w:eastAsia="Times New Roman" w:cs="Times New Roman"/>
          <w:lang w:eastAsia="it-IT"/>
        </w:rPr>
        <w:t xml:space="preserve">, si evidenzia la prima posizione di: </w:t>
      </w:r>
      <w:r w:rsidRPr="000E460B">
        <w:rPr>
          <w:rFonts w:eastAsia="Times New Roman" w:cs="Times New Roman"/>
          <w:b/>
          <w:lang w:eastAsia="it-IT"/>
        </w:rPr>
        <w:t xml:space="preserve">FINECOBANK </w:t>
      </w:r>
      <w:r w:rsidRPr="000E460B">
        <w:rPr>
          <w:rFonts w:eastAsia="Times New Roman" w:cs="Times New Roman"/>
          <w:lang w:eastAsia="it-IT"/>
        </w:rPr>
        <w:t>su MTA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1</w:t>
      </w:r>
      <w:r w:rsidR="00325971">
        <w:rPr>
          <w:rFonts w:eastAsia="Times New Roman" w:cs="Times New Roman"/>
          <w:lang w:eastAsia="it-IT"/>
        </w:rPr>
        <w:t>5</w:t>
      </w:r>
      <w:r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4</w:t>
      </w:r>
      <w:r w:rsidR="00A91EC9">
        <w:rPr>
          <w:rFonts w:eastAsia="Times New Roman" w:cs="Times New Roman"/>
          <w:lang w:eastAsia="it-IT"/>
        </w:rPr>
        <w:t>2</w:t>
      </w:r>
      <w:r w:rsidRPr="000E460B">
        <w:rPr>
          <w:rFonts w:eastAsia="Times New Roman" w:cs="Times New Roman"/>
          <w:lang w:eastAsia="it-IT"/>
        </w:rPr>
        <w:t xml:space="preserve">% del mercato, </w:t>
      </w:r>
      <w:r w:rsidR="00325971" w:rsidRPr="000E460B">
        <w:rPr>
          <w:rFonts w:eastAsia="Times New Roman" w:cs="Times New Roman"/>
          <w:lang w:eastAsia="it-IT"/>
        </w:rPr>
        <w:t>su SeDe</w:t>
      </w:r>
      <w:r w:rsidR="00325971">
        <w:rPr>
          <w:rFonts w:eastAsia="Times New Roman" w:cs="Times New Roman"/>
          <w:lang w:eastAsia="it-IT"/>
        </w:rPr>
        <w:t>X,</w:t>
      </w:r>
      <w:r w:rsidR="00325971" w:rsidRPr="000E460B">
        <w:rPr>
          <w:rFonts w:eastAsia="Times New Roman" w:cs="Times New Roman"/>
          <w:lang w:eastAsia="it-IT"/>
        </w:rPr>
        <w:t xml:space="preserve"> con il </w:t>
      </w:r>
      <w:r w:rsidR="00325971">
        <w:rPr>
          <w:rFonts w:eastAsia="Times New Roman" w:cs="Times New Roman"/>
          <w:lang w:eastAsia="it-IT"/>
        </w:rPr>
        <w:t>24</w:t>
      </w:r>
      <w:r w:rsidR="00325971"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49</w:t>
      </w:r>
      <w:r w:rsidR="00325971" w:rsidRPr="000E460B">
        <w:rPr>
          <w:rFonts w:eastAsia="Times New Roman" w:cs="Times New Roman"/>
          <w:lang w:eastAsia="it-IT"/>
        </w:rPr>
        <w:t>% del mercato</w:t>
      </w:r>
      <w:r w:rsidR="00325971">
        <w:rPr>
          <w:rFonts w:eastAsia="Times New Roman" w:cs="Times New Roman"/>
          <w:lang w:eastAsia="it-IT"/>
        </w:rPr>
        <w:t>,</w:t>
      </w:r>
      <w:r w:rsidR="00325971" w:rsidRPr="000E460B">
        <w:rPr>
          <w:rFonts w:eastAsia="Times New Roman" w:cs="Times New Roman"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su Mini Futures su Indice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4</w:t>
      </w:r>
      <w:r w:rsidR="00325971">
        <w:rPr>
          <w:rFonts w:eastAsia="Times New Roman" w:cs="Times New Roman"/>
          <w:lang w:eastAsia="it-IT"/>
        </w:rPr>
        <w:t>4,60</w:t>
      </w:r>
      <w:r w:rsidRPr="000E460B">
        <w:rPr>
          <w:rFonts w:eastAsia="Times New Roman" w:cs="Times New Roman"/>
          <w:lang w:eastAsia="it-IT"/>
        </w:rPr>
        <w:t xml:space="preserve">% del mercato; </w:t>
      </w:r>
      <w:r w:rsidR="005A1D20" w:rsidRPr="000E460B">
        <w:rPr>
          <w:rFonts w:eastAsia="Times New Roman" w:cs="Times New Roman"/>
          <w:b/>
          <w:lang w:eastAsia="it-IT"/>
        </w:rPr>
        <w:t xml:space="preserve">BANCA IMI </w:t>
      </w:r>
      <w:r w:rsidRPr="000E460B">
        <w:rPr>
          <w:rFonts w:eastAsia="Times New Roman" w:cs="Times New Roman"/>
          <w:lang w:eastAsia="it-IT"/>
        </w:rPr>
        <w:t>su DomesticMOT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1</w:t>
      </w:r>
      <w:r w:rsidR="00325971">
        <w:rPr>
          <w:rFonts w:eastAsia="Times New Roman" w:cs="Times New Roman"/>
          <w:lang w:eastAsia="it-IT"/>
        </w:rPr>
        <w:t>9</w:t>
      </w:r>
      <w:r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17</w:t>
      </w:r>
      <w:r w:rsidR="00453F04">
        <w:rPr>
          <w:rFonts w:eastAsia="Times New Roman" w:cs="Times New Roman"/>
          <w:lang w:eastAsia="it-IT"/>
        </w:rPr>
        <w:t>% del mercato</w:t>
      </w:r>
      <w:r w:rsidR="00325971">
        <w:rPr>
          <w:rFonts w:eastAsia="Times New Roman" w:cs="Times New Roman"/>
          <w:lang w:eastAsia="it-IT"/>
        </w:rPr>
        <w:t xml:space="preserve"> e</w:t>
      </w:r>
      <w:r w:rsidRPr="000E460B">
        <w:rPr>
          <w:rFonts w:eastAsia="Times New Roman" w:cs="Times New Roman"/>
          <w:lang w:eastAsia="it-IT"/>
        </w:rPr>
        <w:t xml:space="preserve"> su ETFplus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</w:t>
      </w:r>
      <w:r w:rsidR="00325971">
        <w:rPr>
          <w:rFonts w:eastAsia="Times New Roman" w:cs="Times New Roman"/>
          <w:lang w:eastAsia="it-IT"/>
        </w:rPr>
        <w:t xml:space="preserve">il </w:t>
      </w:r>
      <w:r w:rsidRPr="000E460B">
        <w:rPr>
          <w:rFonts w:eastAsia="Times New Roman" w:cs="Times New Roman"/>
          <w:lang w:eastAsia="it-IT"/>
        </w:rPr>
        <w:t>1</w:t>
      </w:r>
      <w:r w:rsidR="00325971">
        <w:rPr>
          <w:rFonts w:eastAsia="Times New Roman" w:cs="Times New Roman"/>
          <w:lang w:eastAsia="it-IT"/>
        </w:rPr>
        <w:t>6</w:t>
      </w:r>
      <w:r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38</w:t>
      </w:r>
      <w:r w:rsidRPr="000E460B">
        <w:rPr>
          <w:rFonts w:eastAsia="Times New Roman" w:cs="Times New Roman"/>
          <w:lang w:eastAsia="it-IT"/>
        </w:rPr>
        <w:t>% del mercato</w:t>
      </w:r>
      <w:r w:rsidR="005A1D20" w:rsidRPr="000E460B">
        <w:rPr>
          <w:rFonts w:eastAsia="Times New Roman" w:cs="Times New Roman"/>
          <w:lang w:eastAsia="it-IT"/>
        </w:rPr>
        <w:t xml:space="preserve">; </w:t>
      </w:r>
      <w:r w:rsidRPr="000E460B">
        <w:rPr>
          <w:rFonts w:eastAsia="Times New Roman" w:cs="Times New Roman"/>
          <w:b/>
          <w:lang w:eastAsia="it-IT"/>
        </w:rPr>
        <w:t>BANCA AKROS</w:t>
      </w:r>
      <w:r w:rsidRPr="000E460B">
        <w:rPr>
          <w:rFonts w:eastAsia="Times New Roman" w:cs="Times New Roman"/>
          <w:lang w:eastAsia="it-IT"/>
        </w:rPr>
        <w:t xml:space="preserve"> </w:t>
      </w:r>
      <w:r w:rsidR="00325971" w:rsidRPr="000E460B">
        <w:rPr>
          <w:rFonts w:eastAsia="Times New Roman" w:cs="Times New Roman"/>
          <w:lang w:eastAsia="it-IT"/>
        </w:rPr>
        <w:t>su EuroMOT</w:t>
      </w:r>
      <w:r w:rsidR="00325971">
        <w:rPr>
          <w:rFonts w:eastAsia="Times New Roman" w:cs="Times New Roman"/>
          <w:lang w:eastAsia="it-IT"/>
        </w:rPr>
        <w:t>,</w:t>
      </w:r>
      <w:r w:rsidR="00325971" w:rsidRPr="000E460B">
        <w:rPr>
          <w:rFonts w:eastAsia="Times New Roman" w:cs="Times New Roman"/>
          <w:lang w:eastAsia="it-IT"/>
        </w:rPr>
        <w:t xml:space="preserve"> con il 2</w:t>
      </w:r>
      <w:r w:rsidR="00325971">
        <w:rPr>
          <w:rFonts w:eastAsia="Times New Roman" w:cs="Times New Roman"/>
          <w:lang w:eastAsia="it-IT"/>
        </w:rPr>
        <w:t>5</w:t>
      </w:r>
      <w:r w:rsidR="00325971"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33</w:t>
      </w:r>
      <w:r w:rsidR="00325971" w:rsidRPr="000E460B">
        <w:rPr>
          <w:rFonts w:eastAsia="Times New Roman" w:cs="Times New Roman"/>
          <w:lang w:eastAsia="it-IT"/>
        </w:rPr>
        <w:t>% del mercato</w:t>
      </w:r>
      <w:r w:rsidR="00325971">
        <w:rPr>
          <w:rFonts w:eastAsia="Times New Roman" w:cs="Times New Roman"/>
          <w:lang w:eastAsia="it-IT"/>
        </w:rPr>
        <w:t xml:space="preserve">, </w:t>
      </w:r>
      <w:r w:rsidRPr="000E460B">
        <w:rPr>
          <w:rFonts w:eastAsia="Times New Roman" w:cs="Times New Roman"/>
          <w:lang w:eastAsia="it-IT"/>
        </w:rPr>
        <w:t>su ExtraMOT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</w:t>
      </w:r>
      <w:r w:rsidR="006233A2">
        <w:rPr>
          <w:rFonts w:eastAsia="Times New Roman" w:cs="Times New Roman"/>
          <w:lang w:eastAsia="it-IT"/>
        </w:rPr>
        <w:t>2</w:t>
      </w:r>
      <w:r w:rsidR="00325971">
        <w:rPr>
          <w:rFonts w:eastAsia="Times New Roman" w:cs="Times New Roman"/>
          <w:lang w:eastAsia="it-IT"/>
        </w:rPr>
        <w:t>5</w:t>
      </w:r>
      <w:r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97</w:t>
      </w:r>
      <w:r w:rsidRPr="000E460B">
        <w:rPr>
          <w:rFonts w:eastAsia="Times New Roman" w:cs="Times New Roman"/>
          <w:lang w:eastAsia="it-IT"/>
        </w:rPr>
        <w:t>% del mercato</w:t>
      </w:r>
      <w:r w:rsidR="00325971">
        <w:rPr>
          <w:rFonts w:eastAsia="Times New Roman" w:cs="Times New Roman"/>
          <w:lang w:eastAsia="it-IT"/>
        </w:rPr>
        <w:t xml:space="preserve"> e </w:t>
      </w:r>
      <w:r w:rsidR="00325971" w:rsidRPr="000E460B">
        <w:rPr>
          <w:rFonts w:eastAsia="Times New Roman" w:cs="Times New Roman"/>
          <w:lang w:eastAsia="it-IT"/>
        </w:rPr>
        <w:t>su Opzioni su Indice</w:t>
      </w:r>
      <w:r w:rsidR="00325971">
        <w:rPr>
          <w:rFonts w:eastAsia="Times New Roman" w:cs="Times New Roman"/>
          <w:lang w:eastAsia="it-IT"/>
        </w:rPr>
        <w:t>,</w:t>
      </w:r>
      <w:r w:rsidR="00325971" w:rsidRPr="000E460B">
        <w:rPr>
          <w:rFonts w:eastAsia="Times New Roman" w:cs="Times New Roman"/>
          <w:lang w:eastAsia="it-IT"/>
        </w:rPr>
        <w:t xml:space="preserve"> con il </w:t>
      </w:r>
      <w:r w:rsidR="00325971">
        <w:rPr>
          <w:rFonts w:eastAsia="Times New Roman" w:cs="Times New Roman"/>
          <w:lang w:eastAsia="it-IT"/>
        </w:rPr>
        <w:t>13</w:t>
      </w:r>
      <w:r w:rsidR="00325971" w:rsidRPr="000E460B">
        <w:rPr>
          <w:rFonts w:eastAsia="Times New Roman" w:cs="Times New Roman"/>
          <w:lang w:eastAsia="it-IT"/>
        </w:rPr>
        <w:t>,</w:t>
      </w:r>
      <w:r w:rsidR="00325971">
        <w:rPr>
          <w:rFonts w:eastAsia="Times New Roman" w:cs="Times New Roman"/>
          <w:lang w:eastAsia="it-IT"/>
        </w:rPr>
        <w:t>81</w:t>
      </w:r>
      <w:r w:rsidR="00325971" w:rsidRPr="000E460B">
        <w:rPr>
          <w:rFonts w:eastAsia="Times New Roman" w:cs="Times New Roman"/>
          <w:lang w:eastAsia="it-IT"/>
        </w:rPr>
        <w:t>% del mercato</w:t>
      </w:r>
      <w:r w:rsidR="005A1D20">
        <w:rPr>
          <w:rFonts w:eastAsia="Times New Roman" w:cs="Times New Roman"/>
          <w:lang w:eastAsia="it-IT"/>
        </w:rPr>
        <w:t>;</w:t>
      </w:r>
      <w:r w:rsidR="006233A2">
        <w:rPr>
          <w:rFonts w:eastAsia="Times New Roman" w:cs="Times New Roman"/>
          <w:lang w:eastAsia="it-IT"/>
        </w:rPr>
        <w:t xml:space="preserve"> </w:t>
      </w:r>
      <w:r w:rsidR="00687308" w:rsidRPr="000E460B">
        <w:rPr>
          <w:rFonts w:eastAsia="Times New Roman" w:cs="Times New Roman"/>
          <w:b/>
          <w:lang w:eastAsia="it-IT"/>
        </w:rPr>
        <w:t>MORGAN STANLEY</w:t>
      </w:r>
      <w:r w:rsidR="00687308">
        <w:rPr>
          <w:rFonts w:eastAsia="Times New Roman" w:cs="Times New Roman"/>
          <w:b/>
          <w:lang w:eastAsia="it-IT"/>
        </w:rPr>
        <w:t xml:space="preserve"> </w:t>
      </w:r>
      <w:r w:rsidR="00687308" w:rsidRPr="000E460B">
        <w:rPr>
          <w:rFonts w:eastAsia="Times New Roman" w:cs="Times New Roman"/>
          <w:lang w:eastAsia="it-IT"/>
        </w:rPr>
        <w:t>su Futures su Indice</w:t>
      </w:r>
      <w:r w:rsidR="00687308">
        <w:rPr>
          <w:rFonts w:eastAsia="Times New Roman" w:cs="Times New Roman"/>
          <w:lang w:eastAsia="it-IT"/>
        </w:rPr>
        <w:t>,</w:t>
      </w:r>
      <w:r w:rsidR="00687308" w:rsidRPr="000E460B">
        <w:rPr>
          <w:rFonts w:eastAsia="Times New Roman" w:cs="Times New Roman"/>
          <w:lang w:eastAsia="it-IT"/>
        </w:rPr>
        <w:t xml:space="preserve"> con il 9,</w:t>
      </w:r>
      <w:r w:rsidR="00687308">
        <w:rPr>
          <w:rFonts w:eastAsia="Times New Roman" w:cs="Times New Roman"/>
          <w:lang w:eastAsia="it-IT"/>
        </w:rPr>
        <w:t>93</w:t>
      </w:r>
      <w:r w:rsidR="00687308" w:rsidRPr="000E460B">
        <w:rPr>
          <w:rFonts w:eastAsia="Times New Roman" w:cs="Times New Roman"/>
          <w:lang w:eastAsia="it-IT"/>
        </w:rPr>
        <w:t>% del mercato</w:t>
      </w:r>
      <w:r w:rsidR="005A1D20">
        <w:rPr>
          <w:rFonts w:eastAsia="Times New Roman" w:cs="Times New Roman"/>
          <w:b/>
          <w:lang w:eastAsia="it-IT"/>
        </w:rPr>
        <w:t xml:space="preserve"> </w:t>
      </w:r>
      <w:r w:rsidR="00687308" w:rsidRPr="00687308">
        <w:rPr>
          <w:rFonts w:eastAsia="Times New Roman" w:cs="Times New Roman"/>
          <w:lang w:eastAsia="it-IT"/>
        </w:rPr>
        <w:t xml:space="preserve">e </w:t>
      </w:r>
      <w:r w:rsidRPr="000E460B">
        <w:rPr>
          <w:rFonts w:eastAsia="Times New Roman" w:cs="Times New Roman"/>
          <w:lang w:eastAsia="it-IT"/>
        </w:rPr>
        <w:t>su Opzioni su Azioni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</w:t>
      </w:r>
      <w:r w:rsidR="006233A2">
        <w:rPr>
          <w:rFonts w:eastAsia="Times New Roman" w:cs="Times New Roman"/>
          <w:lang w:eastAsia="it-IT"/>
        </w:rPr>
        <w:t>i</w:t>
      </w:r>
      <w:r w:rsidRPr="000E460B">
        <w:rPr>
          <w:rFonts w:eastAsia="Times New Roman" w:cs="Times New Roman"/>
          <w:lang w:eastAsia="it-IT"/>
        </w:rPr>
        <w:t>l</w:t>
      </w:r>
      <w:r w:rsidR="006233A2">
        <w:rPr>
          <w:rFonts w:eastAsia="Times New Roman" w:cs="Times New Roman"/>
          <w:lang w:eastAsia="it-IT"/>
        </w:rPr>
        <w:t xml:space="preserve"> </w:t>
      </w:r>
      <w:r w:rsidR="00687308">
        <w:rPr>
          <w:rFonts w:eastAsia="Times New Roman" w:cs="Times New Roman"/>
          <w:lang w:eastAsia="it-IT"/>
        </w:rPr>
        <w:t>10</w:t>
      </w:r>
      <w:r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18</w:t>
      </w:r>
      <w:r w:rsidRPr="000E460B">
        <w:rPr>
          <w:rFonts w:eastAsia="Times New Roman" w:cs="Times New Roman"/>
          <w:lang w:eastAsia="it-IT"/>
        </w:rPr>
        <w:t>% del mercato</w:t>
      </w:r>
      <w:r w:rsidR="00687308">
        <w:rPr>
          <w:rFonts w:eastAsia="Times New Roman" w:cs="Times New Roman"/>
          <w:lang w:eastAsia="it-IT"/>
        </w:rPr>
        <w:t>;</w:t>
      </w:r>
      <w:r w:rsidR="005A1D20">
        <w:rPr>
          <w:rFonts w:eastAsia="Times New Roman" w:cs="Times New Roman"/>
          <w:lang w:eastAsia="it-IT"/>
        </w:rPr>
        <w:t xml:space="preserve"> </w:t>
      </w:r>
      <w:r w:rsidR="00687308" w:rsidRPr="00687308">
        <w:rPr>
          <w:rFonts w:eastAsia="Times New Roman" w:cs="Times New Roman"/>
          <w:b/>
          <w:lang w:eastAsia="it-IT"/>
        </w:rPr>
        <w:t>MERRILL LYNCH</w:t>
      </w:r>
      <w:r w:rsidR="005A1D20" w:rsidRPr="005A1D20">
        <w:rPr>
          <w:rFonts w:eastAsia="Times New Roman" w:cs="Times New Roman"/>
          <w:lang w:eastAsia="it-IT"/>
        </w:rPr>
        <w:t xml:space="preserve"> su Futures su Azioni, con l</w:t>
      </w:r>
      <w:r w:rsidR="00687308">
        <w:rPr>
          <w:rFonts w:eastAsia="Times New Roman" w:cs="Times New Roman"/>
          <w:lang w:eastAsia="it-IT"/>
        </w:rPr>
        <w:t>o 0</w:t>
      </w:r>
      <w:r w:rsidR="005A1D20" w:rsidRPr="005A1D20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36</w:t>
      </w:r>
      <w:r w:rsidR="005A1D20" w:rsidRPr="005A1D20">
        <w:rPr>
          <w:rFonts w:eastAsia="Times New Roman" w:cs="Times New Roman"/>
          <w:lang w:eastAsia="it-IT"/>
        </w:rPr>
        <w:t>% del mercato</w:t>
      </w:r>
      <w:r w:rsidRPr="000E460B">
        <w:rPr>
          <w:rFonts w:eastAsia="Times New Roman" w:cs="Times New Roman"/>
          <w:lang w:eastAsia="it-IT"/>
        </w:rPr>
        <w:t xml:space="preserve">. </w:t>
      </w:r>
    </w:p>
    <w:p w14:paraId="1302930D" w14:textId="77777777" w:rsidR="005E65C3" w:rsidRPr="000E460B" w:rsidRDefault="005E65C3" w:rsidP="007A2C2A">
      <w:pPr>
        <w:spacing w:after="0" w:line="240" w:lineRule="auto"/>
        <w:rPr>
          <w:rFonts w:eastAsia="Times New Roman" w:cs="Times New Roman"/>
          <w:lang w:eastAsia="it-IT"/>
        </w:rPr>
      </w:pPr>
    </w:p>
    <w:p w14:paraId="64D01284" w14:textId="60E0492F" w:rsidR="005E65C3" w:rsidRPr="006233A2" w:rsidRDefault="005E65C3" w:rsidP="005E65C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b/>
          <w:lang w:eastAsia="it-IT"/>
        </w:rPr>
      </w:pPr>
      <w:r w:rsidRPr="000E460B">
        <w:rPr>
          <w:rFonts w:eastAsia="Times New Roman" w:cs="Times New Roman"/>
          <w:lang w:eastAsia="it-IT"/>
        </w:rPr>
        <w:t xml:space="preserve">Dalla classifica riferita ai volumi intermediati </w:t>
      </w:r>
      <w:r w:rsidRPr="000E460B">
        <w:rPr>
          <w:rFonts w:eastAsia="Times New Roman" w:cs="Times New Roman"/>
          <w:b/>
          <w:lang w:eastAsia="it-IT"/>
        </w:rPr>
        <w:t>in conto terzi</w:t>
      </w:r>
      <w:r w:rsidRPr="000E460B">
        <w:rPr>
          <w:rFonts w:eastAsia="Times New Roman" w:cs="Times New Roman"/>
          <w:lang w:eastAsia="it-IT"/>
        </w:rPr>
        <w:t xml:space="preserve"> su </w:t>
      </w:r>
      <w:r w:rsidRPr="000E460B">
        <w:rPr>
          <w:rFonts w:eastAsia="Times New Roman" w:cs="Times New Roman"/>
          <w:b/>
          <w:lang w:eastAsia="it-IT"/>
        </w:rPr>
        <w:t>EuroTLX</w:t>
      </w:r>
      <w:r w:rsidRPr="000E460B">
        <w:rPr>
          <w:rFonts w:eastAsia="Times New Roman" w:cs="Times New Roman"/>
          <w:lang w:eastAsia="it-IT"/>
        </w:rPr>
        <w:t>, si evidenzia la prima posizione di</w:t>
      </w:r>
      <w:r w:rsidR="00EB267C">
        <w:rPr>
          <w:rFonts w:eastAsia="Times New Roman" w:cs="Times New Roman"/>
          <w:lang w:eastAsia="it-IT"/>
        </w:rPr>
        <w:t>:</w:t>
      </w:r>
      <w:r w:rsidRPr="000E460B">
        <w:rPr>
          <w:rFonts w:eastAsia="Times New Roman" w:cs="Times New Roman"/>
          <w:lang w:eastAsia="it-IT"/>
        </w:rPr>
        <w:t xml:space="preserve"> </w:t>
      </w:r>
      <w:r w:rsidRPr="000E460B">
        <w:rPr>
          <w:rFonts w:eastAsia="Times New Roman" w:cs="Times New Roman"/>
          <w:b/>
          <w:lang w:eastAsia="it-IT"/>
        </w:rPr>
        <w:t>BANCA IMI</w:t>
      </w:r>
      <w:r w:rsidR="00453F04" w:rsidRP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con una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quota di mercato del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2</w:t>
      </w:r>
      <w:r w:rsidR="00687308">
        <w:rPr>
          <w:rFonts w:eastAsia="Times New Roman" w:cs="Times New Roman"/>
          <w:lang w:eastAsia="it-IT"/>
        </w:rPr>
        <w:t>8</w:t>
      </w:r>
      <w:r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74</w:t>
      </w:r>
      <w:r w:rsidRPr="000E460B">
        <w:rPr>
          <w:rFonts w:eastAsia="Times New Roman" w:cs="Times New Roman"/>
          <w:lang w:eastAsia="it-IT"/>
        </w:rPr>
        <w:t>%, seguita da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="00687308" w:rsidRPr="000E460B">
        <w:rPr>
          <w:rFonts w:eastAsia="Times New Roman" w:cs="Times New Roman"/>
          <w:b/>
          <w:lang w:eastAsia="it-IT"/>
        </w:rPr>
        <w:t>BANCA AKROS</w:t>
      </w:r>
      <w:r w:rsidR="00453F04" w:rsidRP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 xml:space="preserve">con una quota di mercato del </w:t>
      </w:r>
      <w:r w:rsidR="00687308">
        <w:rPr>
          <w:rFonts w:eastAsia="Times New Roman" w:cs="Times New Roman"/>
          <w:lang w:eastAsia="it-IT"/>
        </w:rPr>
        <w:t>21</w:t>
      </w:r>
      <w:r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15</w:t>
      </w:r>
      <w:r w:rsidRPr="000E460B">
        <w:rPr>
          <w:rFonts w:eastAsia="Times New Roman" w:cs="Times New Roman"/>
          <w:lang w:eastAsia="it-IT"/>
        </w:rPr>
        <w:t>%; terza</w:t>
      </w:r>
      <w:r w:rsidR="00453F04" w:rsidRP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="00687308" w:rsidRPr="000E460B">
        <w:rPr>
          <w:rFonts w:eastAsia="Times New Roman" w:cs="Times New Roman"/>
          <w:b/>
          <w:lang w:eastAsia="it-IT"/>
        </w:rPr>
        <w:t>UNICREDIT BANK AG</w:t>
      </w:r>
      <w:r w:rsidR="00687308" w:rsidRPr="000E460B">
        <w:rPr>
          <w:rFonts w:eastAsia="Times New Roman" w:cs="Times New Roman"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con</w:t>
      </w:r>
      <w:r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una quota di mercato del 1</w:t>
      </w:r>
      <w:r w:rsidR="00687308">
        <w:rPr>
          <w:rFonts w:eastAsia="Times New Roman" w:cs="Times New Roman"/>
          <w:lang w:eastAsia="it-IT"/>
        </w:rPr>
        <w:t>5</w:t>
      </w:r>
      <w:r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46</w:t>
      </w:r>
      <w:r w:rsidRPr="000E460B">
        <w:rPr>
          <w:rFonts w:eastAsia="Times New Roman" w:cs="Times New Roman"/>
          <w:lang w:eastAsia="it-IT"/>
        </w:rPr>
        <w:t>%.</w:t>
      </w:r>
    </w:p>
    <w:p w14:paraId="6377B319" w14:textId="2EAB213B" w:rsidR="006233A2" w:rsidRPr="000E460B" w:rsidRDefault="006233A2" w:rsidP="006233A2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1D634605" w14:textId="1A0BD28D" w:rsidR="005E65C3" w:rsidRPr="00AD05E0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AD05E0">
        <w:rPr>
          <w:rFonts w:eastAsia="Times New Roman" w:cs="Times New Roman"/>
          <w:lang w:eastAsia="it-IT"/>
        </w:rPr>
        <w:t xml:space="preserve">Dalla classifica riferita ai volumi intermediati </w:t>
      </w:r>
      <w:r w:rsidRPr="00AD05E0">
        <w:rPr>
          <w:rFonts w:eastAsia="Times New Roman" w:cs="Times New Roman"/>
          <w:b/>
          <w:lang w:eastAsia="it-IT"/>
        </w:rPr>
        <w:t>in conto terzi</w:t>
      </w:r>
      <w:r w:rsidRPr="00AD05E0">
        <w:rPr>
          <w:rFonts w:eastAsia="Times New Roman" w:cs="Times New Roman"/>
          <w:lang w:eastAsia="it-IT"/>
        </w:rPr>
        <w:t xml:space="preserve"> su </w:t>
      </w:r>
      <w:r w:rsidRPr="00AD05E0">
        <w:rPr>
          <w:rFonts w:eastAsia="Times New Roman" w:cs="Times New Roman"/>
          <w:b/>
          <w:lang w:eastAsia="it-IT"/>
        </w:rPr>
        <w:t>HI-MTF</w:t>
      </w:r>
      <w:r w:rsidRPr="00AD05E0">
        <w:rPr>
          <w:rFonts w:eastAsia="Times New Roman" w:cs="Times New Roman"/>
          <w:lang w:eastAsia="it-IT"/>
        </w:rPr>
        <w:t>, si evidenzia la prima posizione di</w:t>
      </w:r>
      <w:r w:rsidR="00EB267C" w:rsidRPr="00AD05E0">
        <w:rPr>
          <w:rFonts w:eastAsia="Times New Roman" w:cs="Times New Roman"/>
          <w:lang w:eastAsia="it-IT"/>
        </w:rPr>
        <w:t>:</w:t>
      </w:r>
      <w:r w:rsidRPr="00AD05E0">
        <w:rPr>
          <w:rFonts w:eastAsia="Times New Roman" w:cs="Times New Roman"/>
          <w:lang w:eastAsia="it-IT"/>
        </w:rPr>
        <w:t xml:space="preserve"> </w:t>
      </w:r>
      <w:r w:rsidRPr="00AD05E0">
        <w:rPr>
          <w:rFonts w:eastAsia="Times New Roman" w:cs="Times New Roman"/>
          <w:b/>
          <w:lang w:eastAsia="it-IT"/>
        </w:rPr>
        <w:t>BANCA AKROS</w:t>
      </w:r>
      <w:r w:rsidR="00453F04" w:rsidRPr="00AD05E0">
        <w:rPr>
          <w:rFonts w:eastAsia="Times New Roman" w:cs="Times New Roman"/>
          <w:lang w:eastAsia="it-IT"/>
        </w:rPr>
        <w:t>,</w:t>
      </w:r>
      <w:r w:rsidRPr="00AD05E0">
        <w:rPr>
          <w:rFonts w:eastAsia="Times New Roman" w:cs="Times New Roman"/>
          <w:b/>
          <w:lang w:eastAsia="it-IT"/>
        </w:rPr>
        <w:t xml:space="preserve"> </w:t>
      </w:r>
      <w:r w:rsidRPr="00AD05E0">
        <w:rPr>
          <w:rFonts w:eastAsia="Times New Roman" w:cs="Times New Roman"/>
          <w:lang w:eastAsia="it-IT"/>
        </w:rPr>
        <w:t xml:space="preserve">con il </w:t>
      </w:r>
      <w:r w:rsidR="006233A2" w:rsidRPr="00AD05E0">
        <w:rPr>
          <w:rFonts w:eastAsia="Times New Roman" w:cs="Times New Roman"/>
          <w:lang w:eastAsia="it-IT"/>
        </w:rPr>
        <w:t>2</w:t>
      </w:r>
      <w:r w:rsidR="00687308">
        <w:rPr>
          <w:rFonts w:eastAsia="Times New Roman" w:cs="Times New Roman"/>
          <w:lang w:eastAsia="it-IT"/>
        </w:rPr>
        <w:t>4</w:t>
      </w:r>
      <w:r w:rsidRPr="00AD05E0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5</w:t>
      </w:r>
      <w:r w:rsidR="00AD05E0">
        <w:rPr>
          <w:rFonts w:eastAsia="Times New Roman" w:cs="Times New Roman"/>
          <w:lang w:eastAsia="it-IT"/>
        </w:rPr>
        <w:t>2</w:t>
      </w:r>
      <w:r w:rsidRPr="00AD05E0">
        <w:rPr>
          <w:rFonts w:eastAsia="Times New Roman" w:cs="Times New Roman"/>
          <w:lang w:eastAsia="it-IT"/>
        </w:rPr>
        <w:t xml:space="preserve">% del mercato, seguita da </w:t>
      </w:r>
      <w:r w:rsidR="00AD05E0" w:rsidRPr="00AD05E0">
        <w:rPr>
          <w:rFonts w:eastAsia="Times New Roman" w:cs="Times New Roman"/>
          <w:b/>
          <w:lang w:eastAsia="it-IT"/>
        </w:rPr>
        <w:t>ICCREA BANCA</w:t>
      </w:r>
      <w:r w:rsidR="00453F04" w:rsidRPr="00AD05E0">
        <w:rPr>
          <w:rFonts w:eastAsia="Times New Roman" w:cs="Times New Roman"/>
          <w:lang w:eastAsia="it-IT"/>
        </w:rPr>
        <w:t>,</w:t>
      </w:r>
      <w:r w:rsidR="006233A2" w:rsidRPr="00AD05E0">
        <w:rPr>
          <w:rFonts w:eastAsia="Times New Roman" w:cs="Times New Roman"/>
          <w:b/>
          <w:lang w:eastAsia="it-IT"/>
        </w:rPr>
        <w:t xml:space="preserve"> </w:t>
      </w:r>
      <w:r w:rsidRPr="00AD05E0">
        <w:rPr>
          <w:rFonts w:eastAsia="Times New Roman" w:cs="Times New Roman"/>
          <w:lang w:eastAsia="it-IT"/>
        </w:rPr>
        <w:t xml:space="preserve">con una quota di mercato del </w:t>
      </w:r>
      <w:r w:rsidR="00687308">
        <w:rPr>
          <w:rFonts w:eastAsia="Times New Roman" w:cs="Times New Roman"/>
          <w:lang w:eastAsia="it-IT"/>
        </w:rPr>
        <w:t>19</w:t>
      </w:r>
      <w:r w:rsidRPr="00AD05E0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7</w:t>
      </w:r>
      <w:r w:rsidR="005A1D20" w:rsidRPr="00AD05E0">
        <w:rPr>
          <w:rFonts w:eastAsia="Times New Roman" w:cs="Times New Roman"/>
          <w:lang w:eastAsia="it-IT"/>
        </w:rPr>
        <w:t>1</w:t>
      </w:r>
      <w:r w:rsidRPr="00AD05E0">
        <w:rPr>
          <w:rFonts w:eastAsia="Times New Roman" w:cs="Times New Roman"/>
          <w:lang w:eastAsia="it-IT"/>
        </w:rPr>
        <w:t>%</w:t>
      </w:r>
      <w:r w:rsidR="00687308">
        <w:rPr>
          <w:rFonts w:eastAsia="Times New Roman" w:cs="Times New Roman"/>
          <w:lang w:eastAsia="it-IT"/>
        </w:rPr>
        <w:t>,</w:t>
      </w:r>
      <w:r w:rsidRPr="00AD05E0">
        <w:rPr>
          <w:rFonts w:eastAsia="Times New Roman" w:cs="Times New Roman"/>
          <w:lang w:eastAsia="it-IT"/>
        </w:rPr>
        <w:t xml:space="preserve"> e da</w:t>
      </w:r>
      <w:r w:rsidR="00AD05E0">
        <w:rPr>
          <w:rFonts w:eastAsia="Times New Roman" w:cs="Times New Roman"/>
          <w:lang w:eastAsia="it-IT"/>
        </w:rPr>
        <w:t xml:space="preserve"> </w:t>
      </w:r>
      <w:r w:rsidR="00AD05E0" w:rsidRPr="00AD05E0">
        <w:rPr>
          <w:rFonts w:eastAsia="Times New Roman" w:cs="Times New Roman"/>
          <w:b/>
          <w:lang w:eastAsia="it-IT"/>
        </w:rPr>
        <w:t>NEXI</w:t>
      </w:r>
      <w:r w:rsidR="00453F04" w:rsidRPr="00AD05E0">
        <w:rPr>
          <w:rFonts w:eastAsia="Times New Roman" w:cs="Times New Roman"/>
          <w:lang w:eastAsia="it-IT"/>
        </w:rPr>
        <w:t>,</w:t>
      </w:r>
      <w:r w:rsidR="006233A2" w:rsidRPr="00AD05E0">
        <w:rPr>
          <w:rFonts w:eastAsia="Times New Roman" w:cs="Times New Roman"/>
          <w:lang w:eastAsia="it-IT"/>
        </w:rPr>
        <w:t xml:space="preserve"> </w:t>
      </w:r>
      <w:r w:rsidRPr="00AD05E0">
        <w:rPr>
          <w:rFonts w:eastAsia="Times New Roman" w:cs="Times New Roman"/>
          <w:lang w:eastAsia="it-IT"/>
        </w:rPr>
        <w:t>con una quota di mercato del 1</w:t>
      </w:r>
      <w:r w:rsidR="00687308">
        <w:rPr>
          <w:rFonts w:eastAsia="Times New Roman" w:cs="Times New Roman"/>
          <w:lang w:eastAsia="it-IT"/>
        </w:rPr>
        <w:t>3</w:t>
      </w:r>
      <w:r w:rsidRPr="00AD05E0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78</w:t>
      </w:r>
      <w:r w:rsidRPr="00AD05E0">
        <w:rPr>
          <w:rFonts w:eastAsia="Times New Roman" w:cs="Times New Roman"/>
          <w:lang w:eastAsia="it-IT"/>
        </w:rPr>
        <w:t>%.</w:t>
      </w:r>
    </w:p>
    <w:p w14:paraId="1F6A7725" w14:textId="12ED9DD8" w:rsidR="005F4942" w:rsidRPr="00A05F39" w:rsidRDefault="005F4942" w:rsidP="005F4942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7BB02F93" w14:textId="0078FEC5" w:rsidR="005E65C3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304757">
        <w:rPr>
          <w:rFonts w:eastAsia="Times New Roman" w:cs="Times New Roman"/>
          <w:lang w:eastAsia="it-IT"/>
        </w:rPr>
        <w:t xml:space="preserve">Dalla classifica sui volumi intermediati </w:t>
      </w:r>
      <w:r w:rsidRPr="00304757">
        <w:rPr>
          <w:rFonts w:eastAsia="Times New Roman" w:cs="Times New Roman"/>
          <w:b/>
          <w:lang w:eastAsia="it-IT"/>
        </w:rPr>
        <w:t>in conto terzi</w:t>
      </w:r>
      <w:r w:rsidRPr="00304757">
        <w:rPr>
          <w:rFonts w:eastAsia="Times New Roman" w:cs="Times New Roman"/>
          <w:lang w:eastAsia="it-IT"/>
        </w:rPr>
        <w:t xml:space="preserve"> su </w:t>
      </w:r>
      <w:r w:rsidRPr="00304757">
        <w:rPr>
          <w:rFonts w:eastAsia="Times New Roman" w:cs="Times New Roman"/>
          <w:b/>
          <w:lang w:eastAsia="it-IT"/>
        </w:rPr>
        <w:t>EQUIDUCT</w:t>
      </w:r>
      <w:r w:rsidRPr="00304757">
        <w:rPr>
          <w:rFonts w:eastAsia="Times New Roman" w:cs="Times New Roman"/>
          <w:lang w:eastAsia="it-IT"/>
        </w:rPr>
        <w:t>, si evidenzia la prima posizione di</w:t>
      </w:r>
      <w:r w:rsidR="00EB267C" w:rsidRPr="00304757">
        <w:rPr>
          <w:rFonts w:eastAsia="Times New Roman" w:cs="Times New Roman"/>
          <w:lang w:eastAsia="it-IT"/>
        </w:rPr>
        <w:t>:</w:t>
      </w:r>
      <w:r w:rsidRPr="00304757">
        <w:rPr>
          <w:rFonts w:eastAsia="Times New Roman" w:cs="Times New Roman"/>
          <w:lang w:eastAsia="it-IT"/>
        </w:rPr>
        <w:t xml:space="preserve"> </w:t>
      </w:r>
      <w:r w:rsidRPr="00304757">
        <w:rPr>
          <w:rFonts w:eastAsia="Times New Roman" w:cs="Times New Roman"/>
          <w:b/>
          <w:lang w:eastAsia="it-IT"/>
        </w:rPr>
        <w:t>BANCA ALETTI</w:t>
      </w:r>
      <w:r w:rsidR="00453F04" w:rsidRPr="00304757">
        <w:rPr>
          <w:rFonts w:eastAsia="Times New Roman" w:cs="Times New Roman"/>
          <w:lang w:eastAsia="it-IT"/>
        </w:rPr>
        <w:t>,</w:t>
      </w:r>
      <w:r w:rsidRPr="00304757">
        <w:rPr>
          <w:rFonts w:eastAsia="Times New Roman" w:cs="Times New Roman"/>
          <w:b/>
          <w:lang w:eastAsia="it-IT"/>
        </w:rPr>
        <w:t xml:space="preserve"> </w:t>
      </w:r>
      <w:r w:rsidRPr="00304757">
        <w:rPr>
          <w:rFonts w:eastAsia="Times New Roman" w:cs="Times New Roman"/>
          <w:lang w:eastAsia="it-IT"/>
        </w:rPr>
        <w:t>con l</w:t>
      </w:r>
      <w:r w:rsidR="00CF7910" w:rsidRPr="00304757">
        <w:rPr>
          <w:rFonts w:eastAsia="Times New Roman" w:cs="Times New Roman"/>
          <w:lang w:eastAsia="it-IT"/>
        </w:rPr>
        <w:t>’8</w:t>
      </w:r>
      <w:r w:rsidR="00F86FA6" w:rsidRPr="00304757">
        <w:rPr>
          <w:rFonts w:eastAsia="Times New Roman" w:cs="Times New Roman"/>
          <w:lang w:eastAsia="it-IT"/>
        </w:rPr>
        <w:t>9</w:t>
      </w:r>
      <w:r w:rsidRPr="00304757">
        <w:rPr>
          <w:rFonts w:eastAsia="Times New Roman" w:cs="Times New Roman"/>
          <w:lang w:eastAsia="it-IT"/>
        </w:rPr>
        <w:t>,</w:t>
      </w:r>
      <w:r w:rsidR="00F86FA6" w:rsidRPr="00304757">
        <w:rPr>
          <w:rFonts w:eastAsia="Times New Roman" w:cs="Times New Roman"/>
          <w:lang w:eastAsia="it-IT"/>
        </w:rPr>
        <w:t>55</w:t>
      </w:r>
      <w:r w:rsidRPr="00304757">
        <w:rPr>
          <w:rFonts w:eastAsia="Times New Roman" w:cs="Times New Roman"/>
          <w:lang w:eastAsia="it-IT"/>
        </w:rPr>
        <w:t xml:space="preserve">% del mercato, seguita da </w:t>
      </w:r>
      <w:r w:rsidR="006233A2" w:rsidRPr="00304757">
        <w:rPr>
          <w:rFonts w:eastAsia="Times New Roman" w:cs="Times New Roman"/>
          <w:b/>
          <w:lang w:eastAsia="it-IT"/>
        </w:rPr>
        <w:t>BANCA AKROS</w:t>
      </w:r>
      <w:r w:rsidR="00453F04" w:rsidRPr="00304757">
        <w:rPr>
          <w:rFonts w:eastAsia="Times New Roman" w:cs="Times New Roman"/>
          <w:lang w:eastAsia="it-IT"/>
        </w:rPr>
        <w:t>,</w:t>
      </w:r>
      <w:r w:rsidR="006233A2" w:rsidRPr="00304757">
        <w:rPr>
          <w:rFonts w:eastAsia="Times New Roman" w:cs="Times New Roman"/>
          <w:b/>
          <w:lang w:eastAsia="it-IT"/>
        </w:rPr>
        <w:t xml:space="preserve"> </w:t>
      </w:r>
      <w:r w:rsidRPr="00304757">
        <w:rPr>
          <w:rFonts w:eastAsia="Times New Roman" w:cs="Times New Roman"/>
          <w:lang w:eastAsia="it-IT"/>
        </w:rPr>
        <w:t>con una quota di mercato del</w:t>
      </w:r>
      <w:r w:rsidR="00F86FA6" w:rsidRPr="00304757">
        <w:rPr>
          <w:rFonts w:eastAsia="Times New Roman" w:cs="Times New Roman"/>
          <w:lang w:eastAsia="it-IT"/>
        </w:rPr>
        <w:t xml:space="preserve"> 7</w:t>
      </w:r>
      <w:r w:rsidRPr="00304757">
        <w:rPr>
          <w:rFonts w:eastAsia="Times New Roman" w:cs="Times New Roman"/>
          <w:lang w:eastAsia="it-IT"/>
        </w:rPr>
        <w:t>,</w:t>
      </w:r>
      <w:r w:rsidR="00F86FA6" w:rsidRPr="00304757">
        <w:rPr>
          <w:rFonts w:eastAsia="Times New Roman" w:cs="Times New Roman"/>
          <w:lang w:eastAsia="it-IT"/>
        </w:rPr>
        <w:t>38</w:t>
      </w:r>
      <w:r w:rsidRPr="00304757">
        <w:rPr>
          <w:rFonts w:eastAsia="Times New Roman" w:cs="Times New Roman"/>
          <w:lang w:eastAsia="it-IT"/>
        </w:rPr>
        <w:t>%</w:t>
      </w:r>
      <w:r w:rsidR="006447C1" w:rsidRPr="00304757">
        <w:rPr>
          <w:rFonts w:eastAsia="Times New Roman" w:cs="Times New Roman"/>
          <w:lang w:eastAsia="it-IT"/>
        </w:rPr>
        <w:t>,</w:t>
      </w:r>
      <w:r w:rsidRPr="00304757">
        <w:rPr>
          <w:rFonts w:eastAsia="Times New Roman" w:cs="Times New Roman"/>
          <w:lang w:eastAsia="it-IT"/>
        </w:rPr>
        <w:t xml:space="preserve"> e da </w:t>
      </w:r>
      <w:r w:rsidR="006233A2" w:rsidRPr="00304757">
        <w:rPr>
          <w:rFonts w:eastAsia="Times New Roman" w:cs="Times New Roman"/>
          <w:b/>
          <w:lang w:eastAsia="it-IT"/>
        </w:rPr>
        <w:t>MERRILL LYNCH</w:t>
      </w:r>
      <w:r w:rsidR="00453F04" w:rsidRPr="00304757">
        <w:rPr>
          <w:rFonts w:eastAsia="Times New Roman" w:cs="Times New Roman"/>
          <w:lang w:eastAsia="it-IT"/>
        </w:rPr>
        <w:t>,</w:t>
      </w:r>
      <w:r w:rsidR="006233A2" w:rsidRPr="00304757">
        <w:rPr>
          <w:rFonts w:eastAsia="Times New Roman" w:cs="Times New Roman"/>
          <w:b/>
          <w:lang w:eastAsia="it-IT"/>
        </w:rPr>
        <w:t xml:space="preserve"> </w:t>
      </w:r>
      <w:r w:rsidRPr="00304757">
        <w:rPr>
          <w:rFonts w:eastAsia="Times New Roman" w:cs="Times New Roman"/>
          <w:lang w:eastAsia="it-IT"/>
        </w:rPr>
        <w:t xml:space="preserve">con una quota di mercato del </w:t>
      </w:r>
      <w:r w:rsidR="00304757" w:rsidRPr="00304757">
        <w:rPr>
          <w:rFonts w:eastAsia="Times New Roman" w:cs="Times New Roman"/>
          <w:lang w:eastAsia="it-IT"/>
        </w:rPr>
        <w:t>3</w:t>
      </w:r>
      <w:r w:rsidRPr="00304757">
        <w:rPr>
          <w:rFonts w:eastAsia="Times New Roman" w:cs="Times New Roman"/>
          <w:lang w:eastAsia="it-IT"/>
        </w:rPr>
        <w:t>,</w:t>
      </w:r>
      <w:r w:rsidR="00304757" w:rsidRPr="00304757">
        <w:rPr>
          <w:rFonts w:eastAsia="Times New Roman" w:cs="Times New Roman"/>
          <w:lang w:eastAsia="it-IT"/>
        </w:rPr>
        <w:t>08</w:t>
      </w:r>
      <w:r w:rsidRPr="00304757">
        <w:rPr>
          <w:rFonts w:eastAsia="Times New Roman" w:cs="Times New Roman"/>
          <w:lang w:eastAsia="it-IT"/>
        </w:rPr>
        <w:t>%.</w:t>
      </w:r>
    </w:p>
    <w:p w14:paraId="3CD26D96" w14:textId="77777777" w:rsidR="00E74A81" w:rsidRPr="00304757" w:rsidRDefault="00E74A81" w:rsidP="00E74A81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68ED0C35" w14:textId="0ED6047E" w:rsidR="005E65C3" w:rsidRPr="000E460B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0E460B">
        <w:rPr>
          <w:rFonts w:eastAsia="Times New Roman" w:cs="Times New Roman"/>
          <w:lang w:eastAsia="it-IT"/>
        </w:rPr>
        <w:t xml:space="preserve">Dalle classifiche riferite ai volumi intermediati </w:t>
      </w:r>
      <w:r w:rsidRPr="000E460B">
        <w:rPr>
          <w:rFonts w:eastAsia="Times New Roman" w:cs="Times New Roman"/>
          <w:b/>
          <w:lang w:eastAsia="it-IT"/>
        </w:rPr>
        <w:t>in conto proprio</w:t>
      </w:r>
      <w:r w:rsidRPr="000E460B">
        <w:rPr>
          <w:rFonts w:eastAsia="Times New Roman" w:cs="Times New Roman"/>
          <w:lang w:eastAsia="it-IT"/>
        </w:rPr>
        <w:t xml:space="preserve"> nei vari mercati gestiti da </w:t>
      </w:r>
      <w:r w:rsidRPr="000E460B">
        <w:rPr>
          <w:rFonts w:eastAsia="Times New Roman" w:cs="Times New Roman"/>
          <w:b/>
          <w:lang w:eastAsia="it-IT"/>
        </w:rPr>
        <w:t>BORSA ITALIANA S.p.A.</w:t>
      </w:r>
      <w:r w:rsidRPr="000E460B">
        <w:rPr>
          <w:rFonts w:eastAsia="Times New Roman" w:cs="Times New Roman"/>
          <w:lang w:eastAsia="it-IT"/>
        </w:rPr>
        <w:t xml:space="preserve">, si evidenzia la prima posizione di: </w:t>
      </w:r>
      <w:r w:rsidR="00687308" w:rsidRPr="000E460B">
        <w:rPr>
          <w:rFonts w:eastAsia="Times New Roman" w:cs="Times New Roman"/>
          <w:b/>
          <w:lang w:eastAsia="it-IT"/>
        </w:rPr>
        <w:t>SOCIETE GENERALE</w:t>
      </w:r>
      <w:r w:rsidR="00687308">
        <w:rPr>
          <w:rFonts w:eastAsia="Times New Roman" w:cs="Times New Roman"/>
          <w:lang w:eastAsia="it-IT"/>
        </w:rPr>
        <w:t xml:space="preserve"> </w:t>
      </w:r>
      <w:r w:rsidR="00687308" w:rsidRPr="000E460B">
        <w:rPr>
          <w:rFonts w:eastAsia="Times New Roman" w:cs="Times New Roman"/>
          <w:lang w:eastAsia="it-IT"/>
        </w:rPr>
        <w:t>su MTA</w:t>
      </w:r>
      <w:r w:rsidR="00687308">
        <w:rPr>
          <w:rFonts w:eastAsia="Times New Roman" w:cs="Times New Roman"/>
          <w:lang w:eastAsia="it-IT"/>
        </w:rPr>
        <w:t>,</w:t>
      </w:r>
      <w:r w:rsidR="00687308" w:rsidRPr="000E460B">
        <w:rPr>
          <w:rFonts w:eastAsia="Times New Roman" w:cs="Times New Roman"/>
          <w:lang w:eastAsia="it-IT"/>
        </w:rPr>
        <w:t xml:space="preserve"> con il 9,</w:t>
      </w:r>
      <w:r w:rsidR="00687308">
        <w:rPr>
          <w:rFonts w:eastAsia="Times New Roman" w:cs="Times New Roman"/>
          <w:lang w:eastAsia="it-IT"/>
        </w:rPr>
        <w:t>44</w:t>
      </w:r>
      <w:r w:rsidR="00687308" w:rsidRPr="000E460B">
        <w:rPr>
          <w:rFonts w:eastAsia="Times New Roman" w:cs="Times New Roman"/>
          <w:lang w:eastAsia="it-IT"/>
        </w:rPr>
        <w:t xml:space="preserve">% del </w:t>
      </w:r>
      <w:r w:rsidR="00687308" w:rsidRPr="000E460B">
        <w:rPr>
          <w:rFonts w:eastAsia="Times New Roman" w:cs="Times New Roman"/>
          <w:lang w:eastAsia="it-IT"/>
        </w:rPr>
        <w:lastRenderedPageBreak/>
        <w:t>mercato</w:t>
      </w:r>
      <w:r w:rsidR="00687308">
        <w:rPr>
          <w:rFonts w:eastAsia="Times New Roman" w:cs="Times New Roman"/>
          <w:lang w:eastAsia="it-IT"/>
        </w:rPr>
        <w:t xml:space="preserve">, </w:t>
      </w:r>
      <w:r w:rsidR="00687308" w:rsidRPr="000E460B">
        <w:rPr>
          <w:rFonts w:eastAsia="Times New Roman" w:cs="Times New Roman"/>
          <w:lang w:eastAsia="it-IT"/>
        </w:rPr>
        <w:t>su ETFPlus</w:t>
      </w:r>
      <w:r w:rsidR="00687308">
        <w:rPr>
          <w:rFonts w:eastAsia="Times New Roman" w:cs="Times New Roman"/>
          <w:lang w:eastAsia="it-IT"/>
        </w:rPr>
        <w:t>,</w:t>
      </w:r>
      <w:r w:rsidR="00687308" w:rsidRPr="000E460B">
        <w:rPr>
          <w:rFonts w:eastAsia="Times New Roman" w:cs="Times New Roman"/>
          <w:lang w:eastAsia="it-IT"/>
        </w:rPr>
        <w:t xml:space="preserve"> con il </w:t>
      </w:r>
      <w:r w:rsidR="00687308">
        <w:rPr>
          <w:rFonts w:eastAsia="Times New Roman" w:cs="Times New Roman"/>
          <w:lang w:eastAsia="it-IT"/>
        </w:rPr>
        <w:t>3</w:t>
      </w:r>
      <w:r w:rsidR="00687308"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69</w:t>
      </w:r>
      <w:r w:rsidR="00687308" w:rsidRPr="000E460B">
        <w:rPr>
          <w:rFonts w:eastAsia="Times New Roman" w:cs="Times New Roman"/>
          <w:lang w:eastAsia="it-IT"/>
        </w:rPr>
        <w:t>% del mercato</w:t>
      </w:r>
      <w:r w:rsidR="00687308">
        <w:rPr>
          <w:rFonts w:eastAsia="Times New Roman" w:cs="Times New Roman"/>
          <w:lang w:eastAsia="it-IT"/>
        </w:rPr>
        <w:t>;</w:t>
      </w:r>
      <w:r w:rsidR="00CF7910" w:rsidRPr="000E460B">
        <w:rPr>
          <w:rFonts w:eastAsia="Times New Roman" w:cs="Times New Roman"/>
          <w:lang w:eastAsia="it-IT"/>
        </w:rPr>
        <w:t xml:space="preserve"> </w:t>
      </w:r>
      <w:r w:rsidR="00CF7910" w:rsidRPr="000E460B">
        <w:rPr>
          <w:rFonts w:eastAsia="Times New Roman" w:cs="Times New Roman"/>
          <w:b/>
          <w:lang w:eastAsia="it-IT"/>
        </w:rPr>
        <w:t>BANCA SELLA HOLDING</w:t>
      </w:r>
      <w:r w:rsidR="00CF7910" w:rsidRPr="000E460B">
        <w:rPr>
          <w:rFonts w:eastAsia="Times New Roman" w:cs="Times New Roman"/>
          <w:lang w:eastAsia="it-IT"/>
        </w:rPr>
        <w:t xml:space="preserve"> su DomesticMOT</w:t>
      </w:r>
      <w:r w:rsidR="00CF7910">
        <w:rPr>
          <w:rFonts w:eastAsia="Times New Roman" w:cs="Times New Roman"/>
          <w:lang w:eastAsia="it-IT"/>
        </w:rPr>
        <w:t>,</w:t>
      </w:r>
      <w:r w:rsidR="00CF7910" w:rsidRPr="000E460B">
        <w:rPr>
          <w:rFonts w:eastAsia="Times New Roman" w:cs="Times New Roman"/>
          <w:lang w:eastAsia="it-IT"/>
        </w:rPr>
        <w:t xml:space="preserve"> con il 1</w:t>
      </w:r>
      <w:r w:rsidR="00687308">
        <w:rPr>
          <w:rFonts w:eastAsia="Times New Roman" w:cs="Times New Roman"/>
          <w:lang w:eastAsia="it-IT"/>
        </w:rPr>
        <w:t>7</w:t>
      </w:r>
      <w:r w:rsidR="00CF7910"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67</w:t>
      </w:r>
      <w:r w:rsidR="00CF7910" w:rsidRPr="000E460B">
        <w:rPr>
          <w:rFonts w:eastAsia="Times New Roman" w:cs="Times New Roman"/>
          <w:lang w:eastAsia="it-IT"/>
        </w:rPr>
        <w:t>% del mercato, su EuroMOT</w:t>
      </w:r>
      <w:r w:rsidR="00CF7910">
        <w:rPr>
          <w:rFonts w:eastAsia="Times New Roman" w:cs="Times New Roman"/>
          <w:lang w:eastAsia="it-IT"/>
        </w:rPr>
        <w:t>,</w:t>
      </w:r>
      <w:r w:rsidR="00CF7910" w:rsidRPr="000E460B">
        <w:rPr>
          <w:rFonts w:eastAsia="Times New Roman" w:cs="Times New Roman"/>
          <w:lang w:eastAsia="it-IT"/>
        </w:rPr>
        <w:t xml:space="preserve"> con il </w:t>
      </w:r>
      <w:r w:rsidR="00CF7910">
        <w:rPr>
          <w:rFonts w:eastAsia="Times New Roman" w:cs="Times New Roman"/>
          <w:lang w:eastAsia="it-IT"/>
        </w:rPr>
        <w:t>2</w:t>
      </w:r>
      <w:r w:rsidR="00687308">
        <w:rPr>
          <w:rFonts w:eastAsia="Times New Roman" w:cs="Times New Roman"/>
          <w:lang w:eastAsia="it-IT"/>
        </w:rPr>
        <w:t>1</w:t>
      </w:r>
      <w:r w:rsidR="00CF7910" w:rsidRPr="000E460B">
        <w:rPr>
          <w:rFonts w:eastAsia="Times New Roman" w:cs="Times New Roman"/>
          <w:lang w:eastAsia="it-IT"/>
        </w:rPr>
        <w:t>,</w:t>
      </w:r>
      <w:r w:rsidR="008842C3">
        <w:rPr>
          <w:rFonts w:eastAsia="Times New Roman" w:cs="Times New Roman"/>
          <w:lang w:eastAsia="it-IT"/>
        </w:rPr>
        <w:t>3</w:t>
      </w:r>
      <w:r w:rsidR="00687308">
        <w:rPr>
          <w:rFonts w:eastAsia="Times New Roman" w:cs="Times New Roman"/>
          <w:lang w:eastAsia="it-IT"/>
        </w:rPr>
        <w:t>3</w:t>
      </w:r>
      <w:r w:rsidR="00CF7910" w:rsidRPr="000E460B">
        <w:rPr>
          <w:rFonts w:eastAsia="Times New Roman" w:cs="Times New Roman"/>
          <w:lang w:eastAsia="it-IT"/>
        </w:rPr>
        <w:t>% del mercato</w:t>
      </w:r>
      <w:r w:rsidR="00CF7910">
        <w:rPr>
          <w:rFonts w:eastAsia="Times New Roman" w:cs="Times New Roman"/>
          <w:lang w:eastAsia="it-IT"/>
        </w:rPr>
        <w:t xml:space="preserve">, su </w:t>
      </w:r>
      <w:r w:rsidR="00CF7910" w:rsidRPr="000E460B">
        <w:rPr>
          <w:rFonts w:eastAsia="Times New Roman" w:cs="Times New Roman"/>
          <w:lang w:eastAsia="it-IT"/>
        </w:rPr>
        <w:t>ExtraMOT</w:t>
      </w:r>
      <w:r w:rsidR="00CF7910">
        <w:rPr>
          <w:rFonts w:eastAsia="Times New Roman" w:cs="Times New Roman"/>
          <w:lang w:eastAsia="it-IT"/>
        </w:rPr>
        <w:t>,</w:t>
      </w:r>
      <w:r w:rsidR="00CF7910" w:rsidRPr="000E460B">
        <w:rPr>
          <w:rFonts w:eastAsia="Times New Roman" w:cs="Times New Roman"/>
          <w:lang w:eastAsia="it-IT"/>
        </w:rPr>
        <w:t xml:space="preserve"> con </w:t>
      </w:r>
      <w:r w:rsidR="00CF7910">
        <w:rPr>
          <w:rFonts w:eastAsia="Times New Roman" w:cs="Times New Roman"/>
          <w:lang w:eastAsia="it-IT"/>
        </w:rPr>
        <w:t xml:space="preserve">il </w:t>
      </w:r>
      <w:r w:rsidR="00687308">
        <w:rPr>
          <w:rFonts w:eastAsia="Times New Roman" w:cs="Times New Roman"/>
          <w:lang w:eastAsia="it-IT"/>
        </w:rPr>
        <w:t>23</w:t>
      </w:r>
      <w:r w:rsidR="00CF7910"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34</w:t>
      </w:r>
      <w:r w:rsidR="00CF7910" w:rsidRPr="000E460B">
        <w:rPr>
          <w:rFonts w:eastAsia="Times New Roman" w:cs="Times New Roman"/>
          <w:lang w:eastAsia="it-IT"/>
        </w:rPr>
        <w:t>% del mercato</w:t>
      </w:r>
      <w:r w:rsidR="006447C1">
        <w:rPr>
          <w:rFonts w:eastAsia="Times New Roman" w:cs="Times New Roman"/>
          <w:lang w:eastAsia="it-IT"/>
        </w:rPr>
        <w:t>,</w:t>
      </w:r>
      <w:r w:rsidR="00CF7910">
        <w:rPr>
          <w:rFonts w:eastAsia="Times New Roman" w:cs="Times New Roman"/>
          <w:lang w:eastAsia="it-IT"/>
        </w:rPr>
        <w:t xml:space="preserve"> e</w:t>
      </w:r>
      <w:r w:rsidR="00CF7910" w:rsidRPr="000E460B">
        <w:rPr>
          <w:rFonts w:eastAsia="Times New Roman" w:cs="Times New Roman"/>
          <w:lang w:eastAsia="it-IT"/>
        </w:rPr>
        <w:t xml:space="preserve"> su</w:t>
      </w:r>
      <w:r w:rsidR="00CF7910">
        <w:rPr>
          <w:rFonts w:eastAsia="Times New Roman" w:cs="Times New Roman"/>
          <w:lang w:eastAsia="it-IT"/>
        </w:rPr>
        <w:t xml:space="preserve"> </w:t>
      </w:r>
      <w:r w:rsidR="00CF7910" w:rsidRPr="000E460B">
        <w:rPr>
          <w:rFonts w:eastAsia="Times New Roman" w:cs="Times New Roman"/>
          <w:lang w:eastAsia="it-IT"/>
        </w:rPr>
        <w:t>Mini Futures su Indice</w:t>
      </w:r>
      <w:r w:rsidR="00CF7910">
        <w:rPr>
          <w:rFonts w:eastAsia="Times New Roman" w:cs="Times New Roman"/>
          <w:lang w:eastAsia="it-IT"/>
        </w:rPr>
        <w:t>,</w:t>
      </w:r>
      <w:r w:rsidR="00CF7910" w:rsidRPr="000E460B">
        <w:rPr>
          <w:rFonts w:eastAsia="Times New Roman" w:cs="Times New Roman"/>
          <w:lang w:eastAsia="it-IT"/>
        </w:rPr>
        <w:t xml:space="preserve"> con il </w:t>
      </w:r>
      <w:r w:rsidR="00687308">
        <w:rPr>
          <w:rFonts w:eastAsia="Times New Roman" w:cs="Times New Roman"/>
          <w:lang w:eastAsia="it-IT"/>
        </w:rPr>
        <w:t>6</w:t>
      </w:r>
      <w:r w:rsidR="00CF7910" w:rsidRPr="000E460B">
        <w:rPr>
          <w:rFonts w:eastAsia="Times New Roman" w:cs="Times New Roman"/>
          <w:lang w:eastAsia="it-IT"/>
        </w:rPr>
        <w:t>,</w:t>
      </w:r>
      <w:r w:rsidR="00687308">
        <w:rPr>
          <w:rFonts w:eastAsia="Times New Roman" w:cs="Times New Roman"/>
          <w:lang w:eastAsia="it-IT"/>
        </w:rPr>
        <w:t>06</w:t>
      </w:r>
      <w:r w:rsidR="00CF7910" w:rsidRPr="000E460B">
        <w:rPr>
          <w:rFonts w:eastAsia="Times New Roman" w:cs="Times New Roman"/>
          <w:lang w:eastAsia="it-IT"/>
        </w:rPr>
        <w:t>% del mercato</w:t>
      </w:r>
      <w:r w:rsidR="00CF7910">
        <w:rPr>
          <w:rFonts w:eastAsia="Times New Roman" w:cs="Times New Roman"/>
          <w:lang w:eastAsia="it-IT"/>
        </w:rPr>
        <w:t xml:space="preserve">; </w:t>
      </w:r>
      <w:r w:rsidR="00CF7910" w:rsidRPr="00EB267C">
        <w:rPr>
          <w:rFonts w:eastAsia="Times New Roman" w:cs="Times New Roman"/>
          <w:b/>
          <w:lang w:eastAsia="it-IT"/>
        </w:rPr>
        <w:t>UNICREDIT BANK AG</w:t>
      </w:r>
      <w:r w:rsidR="00CF7910" w:rsidRPr="000E460B">
        <w:rPr>
          <w:rFonts w:eastAsia="Times New Roman" w:cs="Times New Roman"/>
          <w:lang w:eastAsia="it-IT"/>
        </w:rPr>
        <w:t xml:space="preserve"> </w:t>
      </w:r>
      <w:r w:rsidR="00EB267C" w:rsidRPr="000E460B">
        <w:rPr>
          <w:rFonts w:eastAsia="Times New Roman" w:cs="Times New Roman"/>
          <w:lang w:eastAsia="it-IT"/>
        </w:rPr>
        <w:t>su SeDe</w:t>
      </w:r>
      <w:r w:rsidR="00EB267C">
        <w:rPr>
          <w:rFonts w:eastAsia="Times New Roman" w:cs="Times New Roman"/>
          <w:lang w:eastAsia="it-IT"/>
        </w:rPr>
        <w:t>X</w:t>
      </w:r>
      <w:r w:rsidR="00453F04">
        <w:rPr>
          <w:rFonts w:eastAsia="Times New Roman" w:cs="Times New Roman"/>
          <w:lang w:eastAsia="it-IT"/>
        </w:rPr>
        <w:t>,</w:t>
      </w:r>
      <w:r w:rsidR="00EB267C" w:rsidRPr="000E460B">
        <w:rPr>
          <w:rFonts w:eastAsia="Times New Roman" w:cs="Times New Roman"/>
          <w:lang w:eastAsia="it-IT"/>
        </w:rPr>
        <w:t xml:space="preserve"> con il </w:t>
      </w:r>
      <w:r w:rsidR="00CF7910">
        <w:rPr>
          <w:rFonts w:eastAsia="Times New Roman" w:cs="Times New Roman"/>
          <w:lang w:eastAsia="it-IT"/>
        </w:rPr>
        <w:t>2</w:t>
      </w:r>
      <w:r w:rsidR="00396F5D">
        <w:rPr>
          <w:rFonts w:eastAsia="Times New Roman" w:cs="Times New Roman"/>
          <w:lang w:eastAsia="it-IT"/>
        </w:rPr>
        <w:t>7</w:t>
      </w:r>
      <w:r w:rsidR="00EB267C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59</w:t>
      </w:r>
      <w:r w:rsidR="00EB267C" w:rsidRPr="000E460B">
        <w:rPr>
          <w:rFonts w:eastAsia="Times New Roman" w:cs="Times New Roman"/>
          <w:lang w:eastAsia="it-IT"/>
        </w:rPr>
        <w:t>% del mercato</w:t>
      </w:r>
      <w:r w:rsidR="00CF7910">
        <w:rPr>
          <w:rFonts w:eastAsia="Times New Roman" w:cs="Times New Roman"/>
          <w:lang w:eastAsia="it-IT"/>
        </w:rPr>
        <w:t>;</w:t>
      </w:r>
      <w:r w:rsidR="00EB267C">
        <w:rPr>
          <w:rFonts w:eastAsia="Times New Roman" w:cs="Times New Roman"/>
          <w:lang w:eastAsia="it-IT"/>
        </w:rPr>
        <w:t xml:space="preserve"> </w:t>
      </w:r>
      <w:r w:rsidR="00CF7910" w:rsidRPr="000E460B">
        <w:rPr>
          <w:rFonts w:eastAsia="Times New Roman" w:cs="Times New Roman"/>
          <w:b/>
          <w:lang w:eastAsia="it-IT"/>
        </w:rPr>
        <w:t>DEUTSCHE BANK AG</w:t>
      </w:r>
      <w:r w:rsidR="00CF7910">
        <w:rPr>
          <w:rFonts w:eastAsia="Times New Roman" w:cs="Times New Roman"/>
          <w:lang w:eastAsia="it-IT"/>
        </w:rPr>
        <w:t xml:space="preserve"> </w:t>
      </w:r>
      <w:r w:rsidR="00EB267C" w:rsidRPr="000E460B">
        <w:rPr>
          <w:rFonts w:eastAsia="Times New Roman" w:cs="Times New Roman"/>
          <w:lang w:eastAsia="it-IT"/>
        </w:rPr>
        <w:t>su Futures su Indice</w:t>
      </w:r>
      <w:r w:rsidR="00453F04">
        <w:rPr>
          <w:rFonts w:eastAsia="Times New Roman" w:cs="Times New Roman"/>
          <w:lang w:eastAsia="it-IT"/>
        </w:rPr>
        <w:t>,</w:t>
      </w:r>
      <w:r w:rsidR="00EB267C" w:rsidRPr="000E460B">
        <w:rPr>
          <w:rFonts w:eastAsia="Times New Roman" w:cs="Times New Roman"/>
          <w:lang w:eastAsia="it-IT"/>
        </w:rPr>
        <w:t xml:space="preserve"> con </w:t>
      </w:r>
      <w:r w:rsidR="00396F5D">
        <w:rPr>
          <w:rFonts w:eastAsia="Times New Roman" w:cs="Times New Roman"/>
          <w:lang w:eastAsia="it-IT"/>
        </w:rPr>
        <w:t>i</w:t>
      </w:r>
      <w:r w:rsidR="00EB267C" w:rsidRPr="000E460B">
        <w:rPr>
          <w:rFonts w:eastAsia="Times New Roman" w:cs="Times New Roman"/>
          <w:lang w:eastAsia="it-IT"/>
        </w:rPr>
        <w:t>l</w:t>
      </w:r>
      <w:r w:rsidR="00396F5D">
        <w:rPr>
          <w:rFonts w:eastAsia="Times New Roman" w:cs="Times New Roman"/>
          <w:lang w:eastAsia="it-IT"/>
        </w:rPr>
        <w:t xml:space="preserve"> 2</w:t>
      </w:r>
      <w:r w:rsidR="00EB267C" w:rsidRPr="000E460B">
        <w:rPr>
          <w:rFonts w:eastAsia="Times New Roman" w:cs="Times New Roman"/>
          <w:lang w:eastAsia="it-IT"/>
        </w:rPr>
        <w:t>,</w:t>
      </w:r>
      <w:r w:rsidR="008842C3">
        <w:rPr>
          <w:rFonts w:eastAsia="Times New Roman" w:cs="Times New Roman"/>
          <w:lang w:eastAsia="it-IT"/>
        </w:rPr>
        <w:t>7</w:t>
      </w:r>
      <w:r w:rsidR="00396F5D">
        <w:rPr>
          <w:rFonts w:eastAsia="Times New Roman" w:cs="Times New Roman"/>
          <w:lang w:eastAsia="it-IT"/>
        </w:rPr>
        <w:t>4</w:t>
      </w:r>
      <w:r w:rsidR="00EB267C" w:rsidRPr="000E460B">
        <w:rPr>
          <w:rFonts w:eastAsia="Times New Roman" w:cs="Times New Roman"/>
          <w:lang w:eastAsia="it-IT"/>
        </w:rPr>
        <w:t xml:space="preserve">% del mercato; </w:t>
      </w:r>
      <w:r w:rsidR="00396F5D" w:rsidRPr="000E460B">
        <w:rPr>
          <w:rFonts w:eastAsia="Times New Roman" w:cs="Times New Roman"/>
          <w:b/>
          <w:lang w:eastAsia="it-IT"/>
        </w:rPr>
        <w:t>MORGAN STANLEY</w:t>
      </w:r>
      <w:r w:rsidR="00396F5D">
        <w:rPr>
          <w:rFonts w:eastAsia="Times New Roman" w:cs="Times New Roman"/>
          <w:b/>
          <w:lang w:eastAsia="it-IT"/>
        </w:rPr>
        <w:t xml:space="preserve"> </w:t>
      </w:r>
      <w:r w:rsidR="00396F5D" w:rsidRPr="000E460B">
        <w:rPr>
          <w:rFonts w:eastAsia="Times New Roman" w:cs="Times New Roman"/>
          <w:lang w:eastAsia="it-IT"/>
        </w:rPr>
        <w:t>su Opzioni su Indice</w:t>
      </w:r>
      <w:r w:rsidR="00396F5D">
        <w:rPr>
          <w:rFonts w:eastAsia="Times New Roman" w:cs="Times New Roman"/>
          <w:lang w:eastAsia="it-IT"/>
        </w:rPr>
        <w:t>,</w:t>
      </w:r>
      <w:r w:rsidR="00396F5D" w:rsidRPr="000E460B">
        <w:rPr>
          <w:rFonts w:eastAsia="Times New Roman" w:cs="Times New Roman"/>
          <w:lang w:eastAsia="it-IT"/>
        </w:rPr>
        <w:t xml:space="preserve"> con </w:t>
      </w:r>
      <w:r w:rsidR="00396F5D">
        <w:rPr>
          <w:rFonts w:eastAsia="Times New Roman" w:cs="Times New Roman"/>
          <w:lang w:eastAsia="it-IT"/>
        </w:rPr>
        <w:t>i</w:t>
      </w:r>
      <w:r w:rsidR="00396F5D" w:rsidRPr="000E460B">
        <w:rPr>
          <w:rFonts w:eastAsia="Times New Roman" w:cs="Times New Roman"/>
          <w:lang w:eastAsia="it-IT"/>
        </w:rPr>
        <w:t>l</w:t>
      </w:r>
      <w:r w:rsidR="00396F5D">
        <w:rPr>
          <w:rFonts w:eastAsia="Times New Roman" w:cs="Times New Roman"/>
          <w:lang w:eastAsia="it-IT"/>
        </w:rPr>
        <w:t xml:space="preserve"> 7</w:t>
      </w:r>
      <w:r w:rsidR="00396F5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88</w:t>
      </w:r>
      <w:r w:rsidR="00396F5D" w:rsidRPr="000E460B">
        <w:rPr>
          <w:rFonts w:eastAsia="Times New Roman" w:cs="Times New Roman"/>
          <w:lang w:eastAsia="it-IT"/>
        </w:rPr>
        <w:t>% del mercato</w:t>
      </w:r>
      <w:r w:rsidR="00396F5D">
        <w:rPr>
          <w:rFonts w:eastAsia="Times New Roman" w:cs="Times New Roman"/>
          <w:lang w:eastAsia="it-IT"/>
        </w:rPr>
        <w:t>, e</w:t>
      </w:r>
      <w:r w:rsidR="00CF7910" w:rsidRPr="000E460B">
        <w:rPr>
          <w:rFonts w:eastAsia="Times New Roman" w:cs="Times New Roman"/>
          <w:lang w:eastAsia="it-IT"/>
        </w:rPr>
        <w:t xml:space="preserve"> </w:t>
      </w:r>
      <w:r w:rsidRPr="000E460B">
        <w:rPr>
          <w:rFonts w:eastAsia="Times New Roman" w:cs="Times New Roman"/>
          <w:lang w:eastAsia="it-IT"/>
        </w:rPr>
        <w:t>su Opzioni su Azioni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</w:t>
      </w:r>
      <w:r w:rsidR="00CF7910">
        <w:rPr>
          <w:rFonts w:eastAsia="Times New Roman" w:cs="Times New Roman"/>
          <w:lang w:eastAsia="it-IT"/>
        </w:rPr>
        <w:t>7</w:t>
      </w:r>
      <w:r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86</w:t>
      </w:r>
      <w:r w:rsidRPr="000E460B">
        <w:rPr>
          <w:rFonts w:eastAsia="Times New Roman" w:cs="Times New Roman"/>
          <w:lang w:eastAsia="it-IT"/>
        </w:rPr>
        <w:t>% del mercato</w:t>
      </w:r>
      <w:r w:rsidR="008842C3">
        <w:rPr>
          <w:rFonts w:eastAsia="Times New Roman" w:cs="Times New Roman"/>
          <w:lang w:eastAsia="it-IT"/>
        </w:rPr>
        <w:t>;</w:t>
      </w:r>
      <w:r w:rsidR="00CF7910">
        <w:rPr>
          <w:rFonts w:eastAsia="Times New Roman" w:cs="Times New Roman"/>
          <w:lang w:eastAsia="it-IT"/>
        </w:rPr>
        <w:t xml:space="preserve"> </w:t>
      </w:r>
      <w:r w:rsidR="00396F5D">
        <w:rPr>
          <w:rFonts w:eastAsia="Times New Roman" w:cs="Times New Roman"/>
          <w:b/>
          <w:lang w:eastAsia="it-IT"/>
        </w:rPr>
        <w:t>MEDIOBANCA</w:t>
      </w:r>
      <w:r w:rsidRPr="000E460B">
        <w:rPr>
          <w:rFonts w:eastAsia="Times New Roman" w:cs="Times New Roman"/>
          <w:lang w:eastAsia="it-IT"/>
        </w:rPr>
        <w:t xml:space="preserve"> su Futures su Azioni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</w:t>
      </w:r>
      <w:r w:rsidR="00396F5D">
        <w:rPr>
          <w:rFonts w:eastAsia="Times New Roman" w:cs="Times New Roman"/>
          <w:lang w:eastAsia="it-IT"/>
        </w:rPr>
        <w:t>7</w:t>
      </w:r>
      <w:r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20</w:t>
      </w:r>
      <w:r w:rsidRPr="000E460B">
        <w:rPr>
          <w:rFonts w:eastAsia="Times New Roman" w:cs="Times New Roman"/>
          <w:lang w:eastAsia="it-IT"/>
        </w:rPr>
        <w:t xml:space="preserve">% del mercato. </w:t>
      </w:r>
    </w:p>
    <w:p w14:paraId="68FA2D4F" w14:textId="77777777" w:rsidR="005E65C3" w:rsidRPr="000E460B" w:rsidRDefault="005E65C3" w:rsidP="005E65C3">
      <w:pPr>
        <w:spacing w:after="0" w:line="240" w:lineRule="auto"/>
        <w:ind w:left="284"/>
        <w:jc w:val="both"/>
        <w:rPr>
          <w:rFonts w:eastAsia="Times New Roman" w:cs="Times New Roman"/>
          <w:highlight w:val="yellow"/>
          <w:lang w:eastAsia="it-IT"/>
        </w:rPr>
      </w:pPr>
    </w:p>
    <w:p w14:paraId="60A92AA8" w14:textId="6C4100A0" w:rsidR="005E65C3" w:rsidRPr="000E460B" w:rsidRDefault="005E65C3" w:rsidP="005E65C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it-IT"/>
        </w:rPr>
      </w:pPr>
      <w:r w:rsidRPr="000E460B">
        <w:rPr>
          <w:rFonts w:eastAsia="Times New Roman" w:cs="Times New Roman"/>
          <w:lang w:eastAsia="it-IT"/>
        </w:rPr>
        <w:t xml:space="preserve">Dalle classifiche riferite ai </w:t>
      </w:r>
      <w:r w:rsidRPr="000E460B">
        <w:rPr>
          <w:rFonts w:eastAsia="Times New Roman" w:cs="Times New Roman"/>
          <w:b/>
          <w:lang w:eastAsia="it-IT"/>
        </w:rPr>
        <w:t>volumi</w:t>
      </w:r>
      <w:r w:rsidRPr="000E460B">
        <w:rPr>
          <w:rFonts w:eastAsia="Times New Roman" w:cs="Times New Roman"/>
          <w:lang w:eastAsia="it-IT"/>
        </w:rPr>
        <w:t xml:space="preserve"> </w:t>
      </w:r>
      <w:r w:rsidRPr="000E460B">
        <w:rPr>
          <w:rFonts w:eastAsia="Times New Roman" w:cs="Times New Roman"/>
          <w:b/>
          <w:lang w:eastAsia="it-IT"/>
        </w:rPr>
        <w:t>totali</w:t>
      </w:r>
      <w:r w:rsidRPr="000E460B">
        <w:rPr>
          <w:rFonts w:eastAsia="Times New Roman" w:cs="Times New Roman"/>
          <w:lang w:eastAsia="it-IT"/>
        </w:rPr>
        <w:t xml:space="preserve"> intermediati (conto proprio</w:t>
      </w:r>
      <w:r w:rsidR="00396F5D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conto terzi</w:t>
      </w:r>
      <w:r w:rsidR="00396F5D">
        <w:rPr>
          <w:rFonts w:eastAsia="Times New Roman" w:cs="Times New Roman"/>
          <w:lang w:eastAsia="it-IT"/>
        </w:rPr>
        <w:t xml:space="preserve"> e </w:t>
      </w:r>
      <w:r w:rsidR="00396F5D" w:rsidRPr="00396F5D">
        <w:rPr>
          <w:rFonts w:eastAsia="Times New Roman" w:cs="Times New Roman"/>
          <w:i/>
          <w:lang w:eastAsia="it-IT"/>
        </w:rPr>
        <w:t>matched principal</w:t>
      </w:r>
      <w:r w:rsidRPr="000E460B">
        <w:rPr>
          <w:rFonts w:eastAsia="Times New Roman" w:cs="Times New Roman"/>
          <w:lang w:eastAsia="it-IT"/>
        </w:rPr>
        <w:t xml:space="preserve">) nei vari mercati gestiti da </w:t>
      </w:r>
      <w:r w:rsidRPr="000E460B">
        <w:rPr>
          <w:rFonts w:eastAsia="Times New Roman" w:cs="Times New Roman"/>
          <w:b/>
          <w:lang w:eastAsia="it-IT"/>
        </w:rPr>
        <w:t>BORSA ITALIANA S.p.A.</w:t>
      </w:r>
      <w:r w:rsidRPr="000E460B">
        <w:rPr>
          <w:rFonts w:eastAsia="Times New Roman" w:cs="Times New Roman"/>
          <w:lang w:eastAsia="it-IT"/>
        </w:rPr>
        <w:t xml:space="preserve">, si evidenzia la prima posizione di: </w:t>
      </w:r>
      <w:r w:rsidR="00CA63DD">
        <w:rPr>
          <w:rFonts w:eastAsia="Times New Roman" w:cs="Times New Roman"/>
          <w:b/>
          <w:lang w:eastAsia="it-IT"/>
        </w:rPr>
        <w:t xml:space="preserve">MORGAN STANLEY </w:t>
      </w:r>
      <w:r w:rsidR="00CA63DD" w:rsidRPr="000E460B">
        <w:rPr>
          <w:rFonts w:eastAsia="Times New Roman" w:cs="Times New Roman"/>
          <w:lang w:eastAsia="it-IT"/>
        </w:rPr>
        <w:t>su MTA</w:t>
      </w:r>
      <w:r w:rsidR="00CA63DD">
        <w:rPr>
          <w:rFonts w:eastAsia="Times New Roman" w:cs="Times New Roman"/>
          <w:lang w:eastAsia="it-IT"/>
        </w:rPr>
        <w:t>,</w:t>
      </w:r>
      <w:r w:rsidR="00CA63DD" w:rsidRPr="000E460B">
        <w:rPr>
          <w:rFonts w:eastAsia="Times New Roman" w:cs="Times New Roman"/>
          <w:lang w:eastAsia="it-IT"/>
        </w:rPr>
        <w:t xml:space="preserve"> con il 6,</w:t>
      </w:r>
      <w:r w:rsidR="00396F5D">
        <w:rPr>
          <w:rFonts w:eastAsia="Times New Roman" w:cs="Times New Roman"/>
          <w:lang w:eastAsia="it-IT"/>
        </w:rPr>
        <w:t>87</w:t>
      </w:r>
      <w:r w:rsidR="008842C3">
        <w:rPr>
          <w:rFonts w:eastAsia="Times New Roman" w:cs="Times New Roman"/>
          <w:lang w:eastAsia="it-IT"/>
        </w:rPr>
        <w:t>%</w:t>
      </w:r>
      <w:r w:rsidR="00CA63DD" w:rsidRPr="000E460B">
        <w:rPr>
          <w:rFonts w:eastAsia="Times New Roman" w:cs="Times New Roman"/>
          <w:lang w:eastAsia="it-IT"/>
        </w:rPr>
        <w:t xml:space="preserve"> del mercato</w:t>
      </w:r>
      <w:r w:rsidR="00CA63DD">
        <w:rPr>
          <w:rFonts w:eastAsia="Times New Roman" w:cs="Times New Roman"/>
          <w:lang w:eastAsia="it-IT"/>
        </w:rPr>
        <w:t xml:space="preserve">, </w:t>
      </w:r>
      <w:r w:rsidR="00CA63DD" w:rsidRPr="000E460B">
        <w:rPr>
          <w:rFonts w:eastAsia="Times New Roman" w:cs="Times New Roman"/>
          <w:lang w:eastAsia="it-IT"/>
        </w:rPr>
        <w:t>su Futures su Indice</w:t>
      </w:r>
      <w:r w:rsidR="00CA63DD">
        <w:rPr>
          <w:rFonts w:eastAsia="Times New Roman" w:cs="Times New Roman"/>
          <w:lang w:eastAsia="it-IT"/>
        </w:rPr>
        <w:t>,</w:t>
      </w:r>
      <w:r w:rsidR="00CA63DD" w:rsidRPr="000E460B">
        <w:rPr>
          <w:rFonts w:eastAsia="Times New Roman" w:cs="Times New Roman"/>
          <w:lang w:eastAsia="it-IT"/>
        </w:rPr>
        <w:t xml:space="preserve"> con il </w:t>
      </w:r>
      <w:r w:rsidR="00CA63DD">
        <w:rPr>
          <w:rFonts w:eastAsia="Times New Roman" w:cs="Times New Roman"/>
          <w:lang w:eastAsia="it-IT"/>
        </w:rPr>
        <w:t>4</w:t>
      </w:r>
      <w:r w:rsidR="00CA63D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39</w:t>
      </w:r>
      <w:r w:rsidR="00CA63DD" w:rsidRPr="000E460B">
        <w:rPr>
          <w:rFonts w:eastAsia="Times New Roman" w:cs="Times New Roman"/>
          <w:lang w:eastAsia="it-IT"/>
        </w:rPr>
        <w:t>% del mercato</w:t>
      </w:r>
      <w:r w:rsidR="00396F5D">
        <w:rPr>
          <w:rFonts w:eastAsia="Times New Roman" w:cs="Times New Roman"/>
          <w:lang w:eastAsia="it-IT"/>
        </w:rPr>
        <w:t xml:space="preserve">, e </w:t>
      </w:r>
      <w:r w:rsidR="00396F5D" w:rsidRPr="000E460B">
        <w:rPr>
          <w:rFonts w:eastAsia="Times New Roman" w:cs="Times New Roman"/>
          <w:lang w:eastAsia="it-IT"/>
        </w:rPr>
        <w:t>su Opzioni su Azioni</w:t>
      </w:r>
      <w:r w:rsidR="00396F5D">
        <w:rPr>
          <w:rFonts w:eastAsia="Times New Roman" w:cs="Times New Roman"/>
          <w:lang w:eastAsia="it-IT"/>
        </w:rPr>
        <w:t>,</w:t>
      </w:r>
      <w:r w:rsidR="00396F5D" w:rsidRPr="000E460B">
        <w:rPr>
          <w:rFonts w:eastAsia="Times New Roman" w:cs="Times New Roman"/>
          <w:lang w:eastAsia="it-IT"/>
        </w:rPr>
        <w:t xml:space="preserve"> con l</w:t>
      </w:r>
      <w:r w:rsidR="00396F5D">
        <w:rPr>
          <w:rFonts w:eastAsia="Times New Roman" w:cs="Times New Roman"/>
          <w:lang w:eastAsia="it-IT"/>
        </w:rPr>
        <w:t>’8</w:t>
      </w:r>
      <w:r w:rsidR="00396F5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75</w:t>
      </w:r>
      <w:r w:rsidR="00396F5D" w:rsidRPr="000E460B">
        <w:rPr>
          <w:rFonts w:eastAsia="Times New Roman" w:cs="Times New Roman"/>
          <w:lang w:eastAsia="it-IT"/>
        </w:rPr>
        <w:t>% del mercato</w:t>
      </w:r>
      <w:r w:rsidR="00CA63DD">
        <w:rPr>
          <w:rFonts w:eastAsia="Times New Roman" w:cs="Times New Roman"/>
          <w:lang w:eastAsia="it-IT"/>
        </w:rPr>
        <w:t>;</w:t>
      </w:r>
      <w:r w:rsidR="00CA63DD" w:rsidRPr="000E460B">
        <w:rPr>
          <w:rFonts w:eastAsia="Times New Roman" w:cs="Times New Roman"/>
          <w:lang w:eastAsia="it-IT"/>
        </w:rPr>
        <w:t xml:space="preserve"> </w:t>
      </w:r>
      <w:r w:rsidR="00CA63DD" w:rsidRPr="000E460B">
        <w:rPr>
          <w:rFonts w:eastAsia="Times New Roman" w:cs="Times New Roman"/>
          <w:b/>
          <w:lang w:eastAsia="it-IT"/>
        </w:rPr>
        <w:t>BANCA IMI</w:t>
      </w:r>
      <w:r w:rsidR="00CA63DD" w:rsidRPr="000E460B">
        <w:rPr>
          <w:rFonts w:eastAsia="Times New Roman" w:cs="Times New Roman"/>
          <w:lang w:eastAsia="it-IT"/>
        </w:rPr>
        <w:t xml:space="preserve"> su DomesticMOT</w:t>
      </w:r>
      <w:r w:rsidR="00CA63DD">
        <w:rPr>
          <w:rFonts w:eastAsia="Times New Roman" w:cs="Times New Roman"/>
          <w:lang w:eastAsia="it-IT"/>
        </w:rPr>
        <w:t>,</w:t>
      </w:r>
      <w:r w:rsidR="00CA63DD" w:rsidRPr="000E460B">
        <w:rPr>
          <w:rFonts w:eastAsia="Times New Roman" w:cs="Times New Roman"/>
          <w:lang w:eastAsia="it-IT"/>
        </w:rPr>
        <w:t xml:space="preserve"> con </w:t>
      </w:r>
      <w:r w:rsidR="008842C3">
        <w:rPr>
          <w:rFonts w:eastAsia="Times New Roman" w:cs="Times New Roman"/>
          <w:lang w:eastAsia="it-IT"/>
        </w:rPr>
        <w:t xml:space="preserve">il </w:t>
      </w:r>
      <w:r w:rsidR="00CA63DD" w:rsidRPr="000E460B">
        <w:rPr>
          <w:rFonts w:eastAsia="Times New Roman" w:cs="Times New Roman"/>
          <w:lang w:eastAsia="it-IT"/>
        </w:rPr>
        <w:t>1</w:t>
      </w:r>
      <w:r w:rsidR="00396F5D">
        <w:rPr>
          <w:rFonts w:eastAsia="Times New Roman" w:cs="Times New Roman"/>
          <w:lang w:eastAsia="it-IT"/>
        </w:rPr>
        <w:t>2</w:t>
      </w:r>
      <w:r w:rsidR="00CA63D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51</w:t>
      </w:r>
      <w:r w:rsidR="00CA63DD" w:rsidRPr="000E460B">
        <w:rPr>
          <w:rFonts w:eastAsia="Times New Roman" w:cs="Times New Roman"/>
          <w:lang w:eastAsia="it-IT"/>
        </w:rPr>
        <w:t>% del mercato, su EuroMOT</w:t>
      </w:r>
      <w:r w:rsidR="00CA63DD">
        <w:rPr>
          <w:rFonts w:eastAsia="Times New Roman" w:cs="Times New Roman"/>
          <w:lang w:eastAsia="it-IT"/>
        </w:rPr>
        <w:t>,</w:t>
      </w:r>
      <w:r w:rsidR="00CA63DD" w:rsidRPr="000E460B">
        <w:rPr>
          <w:rFonts w:eastAsia="Times New Roman" w:cs="Times New Roman"/>
          <w:lang w:eastAsia="it-IT"/>
        </w:rPr>
        <w:t xml:space="preserve"> con il </w:t>
      </w:r>
      <w:r w:rsidR="00396F5D">
        <w:rPr>
          <w:rFonts w:eastAsia="Times New Roman" w:cs="Times New Roman"/>
          <w:lang w:eastAsia="it-IT"/>
        </w:rPr>
        <w:t>19</w:t>
      </w:r>
      <w:r w:rsidR="00CA63D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72</w:t>
      </w:r>
      <w:r w:rsidR="00CA63DD" w:rsidRPr="000E460B">
        <w:rPr>
          <w:rFonts w:eastAsia="Times New Roman" w:cs="Times New Roman"/>
          <w:lang w:eastAsia="it-IT"/>
        </w:rPr>
        <w:t>% del mercato</w:t>
      </w:r>
      <w:r w:rsidR="008842C3">
        <w:rPr>
          <w:rFonts w:eastAsia="Times New Roman" w:cs="Times New Roman"/>
          <w:lang w:eastAsia="it-IT"/>
        </w:rPr>
        <w:t xml:space="preserve">, </w:t>
      </w:r>
      <w:r w:rsidR="00396F5D" w:rsidRPr="000E460B">
        <w:rPr>
          <w:rFonts w:eastAsia="Times New Roman" w:cs="Times New Roman"/>
          <w:lang w:eastAsia="it-IT"/>
        </w:rPr>
        <w:t>su ETFplus</w:t>
      </w:r>
      <w:r w:rsidR="00396F5D">
        <w:rPr>
          <w:rFonts w:eastAsia="Times New Roman" w:cs="Times New Roman"/>
          <w:lang w:eastAsia="it-IT"/>
        </w:rPr>
        <w:t>,</w:t>
      </w:r>
      <w:r w:rsidR="00396F5D" w:rsidRPr="000E460B">
        <w:rPr>
          <w:rFonts w:eastAsia="Times New Roman" w:cs="Times New Roman"/>
          <w:lang w:eastAsia="it-IT"/>
        </w:rPr>
        <w:t xml:space="preserve"> con il </w:t>
      </w:r>
      <w:r w:rsidR="00396F5D">
        <w:rPr>
          <w:rFonts w:eastAsia="Times New Roman" w:cs="Times New Roman"/>
          <w:lang w:eastAsia="it-IT"/>
        </w:rPr>
        <w:t>5</w:t>
      </w:r>
      <w:r w:rsidR="00396F5D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14</w:t>
      </w:r>
      <w:r w:rsidR="00396F5D" w:rsidRPr="000E460B">
        <w:rPr>
          <w:rFonts w:eastAsia="Times New Roman" w:cs="Times New Roman"/>
          <w:lang w:eastAsia="it-IT"/>
        </w:rPr>
        <w:t>% del mercato</w:t>
      </w:r>
      <w:r w:rsidR="00396F5D">
        <w:rPr>
          <w:rFonts w:eastAsia="Times New Roman" w:cs="Times New Roman"/>
          <w:lang w:eastAsia="it-IT"/>
        </w:rPr>
        <w:t>,</w:t>
      </w:r>
      <w:r w:rsidR="00396F5D" w:rsidRPr="000E460B">
        <w:rPr>
          <w:rFonts w:eastAsia="Times New Roman" w:cs="Times New Roman"/>
          <w:lang w:eastAsia="it-IT"/>
        </w:rPr>
        <w:t xml:space="preserve"> </w:t>
      </w:r>
      <w:r w:rsidR="00396F5D">
        <w:rPr>
          <w:rFonts w:eastAsia="Times New Roman" w:cs="Times New Roman"/>
          <w:lang w:eastAsia="it-IT"/>
        </w:rPr>
        <w:t xml:space="preserve">e </w:t>
      </w:r>
      <w:r w:rsidR="008842C3" w:rsidRPr="000E460B">
        <w:rPr>
          <w:rFonts w:eastAsia="Times New Roman" w:cs="Times New Roman"/>
          <w:lang w:eastAsia="it-IT"/>
        </w:rPr>
        <w:t>su Opzioni</w:t>
      </w:r>
      <w:r w:rsidR="008842C3">
        <w:rPr>
          <w:rFonts w:eastAsia="Times New Roman" w:cs="Times New Roman"/>
          <w:lang w:eastAsia="it-IT"/>
        </w:rPr>
        <w:t xml:space="preserve"> su </w:t>
      </w:r>
      <w:r w:rsidR="008842C3" w:rsidRPr="000E460B">
        <w:rPr>
          <w:rFonts w:eastAsia="Times New Roman" w:cs="Times New Roman"/>
          <w:lang w:eastAsia="it-IT"/>
        </w:rPr>
        <w:t>Indice</w:t>
      </w:r>
      <w:r w:rsidR="008842C3">
        <w:rPr>
          <w:rFonts w:eastAsia="Times New Roman" w:cs="Times New Roman"/>
          <w:lang w:eastAsia="it-IT"/>
        </w:rPr>
        <w:t>,</w:t>
      </w:r>
      <w:r w:rsidR="008842C3" w:rsidRPr="000E460B">
        <w:rPr>
          <w:rFonts w:eastAsia="Times New Roman" w:cs="Times New Roman"/>
          <w:lang w:eastAsia="it-IT"/>
        </w:rPr>
        <w:t xml:space="preserve"> con l</w:t>
      </w:r>
      <w:r w:rsidR="00396F5D">
        <w:rPr>
          <w:rFonts w:eastAsia="Times New Roman" w:cs="Times New Roman"/>
          <w:lang w:eastAsia="it-IT"/>
        </w:rPr>
        <w:t>’8</w:t>
      </w:r>
      <w:r w:rsidR="008842C3" w:rsidRPr="000E460B">
        <w:rPr>
          <w:rFonts w:eastAsia="Times New Roman" w:cs="Times New Roman"/>
          <w:lang w:eastAsia="it-IT"/>
        </w:rPr>
        <w:t>,</w:t>
      </w:r>
      <w:r w:rsidR="00396F5D">
        <w:rPr>
          <w:rFonts w:eastAsia="Times New Roman" w:cs="Times New Roman"/>
          <w:lang w:eastAsia="it-IT"/>
        </w:rPr>
        <w:t>45</w:t>
      </w:r>
      <w:r w:rsidR="008842C3" w:rsidRPr="000E460B">
        <w:rPr>
          <w:rFonts w:eastAsia="Times New Roman" w:cs="Times New Roman"/>
          <w:lang w:eastAsia="it-IT"/>
        </w:rPr>
        <w:t>% del mercato</w:t>
      </w:r>
      <w:r w:rsidR="003470D4">
        <w:rPr>
          <w:rFonts w:eastAsia="Times New Roman" w:cs="Times New Roman"/>
          <w:lang w:eastAsia="it-IT"/>
        </w:rPr>
        <w:t>;</w:t>
      </w:r>
      <w:r w:rsidR="003470D4" w:rsidRPr="000E460B">
        <w:rPr>
          <w:rFonts w:eastAsia="Times New Roman" w:cs="Times New Roman"/>
          <w:b/>
          <w:lang w:eastAsia="it-IT"/>
        </w:rPr>
        <w:t xml:space="preserve"> </w:t>
      </w:r>
      <w:r w:rsidRPr="000E460B">
        <w:rPr>
          <w:rFonts w:eastAsia="Times New Roman" w:cs="Times New Roman"/>
          <w:b/>
          <w:lang w:eastAsia="it-IT"/>
        </w:rPr>
        <w:t>BANCA AKROS</w:t>
      </w:r>
      <w:r w:rsidRPr="000E460B">
        <w:rPr>
          <w:rFonts w:eastAsia="Times New Roman" w:cs="Times New Roman"/>
          <w:lang w:eastAsia="it-IT"/>
        </w:rPr>
        <w:t xml:space="preserve"> su ExtraMOT</w:t>
      </w:r>
      <w:r w:rsidR="00453F04">
        <w:rPr>
          <w:rFonts w:eastAsia="Times New Roman" w:cs="Times New Roman"/>
          <w:lang w:eastAsia="it-IT"/>
        </w:rPr>
        <w:t>,</w:t>
      </w:r>
      <w:r w:rsidRPr="000E460B">
        <w:rPr>
          <w:rFonts w:eastAsia="Times New Roman" w:cs="Times New Roman"/>
          <w:lang w:eastAsia="it-IT"/>
        </w:rPr>
        <w:t xml:space="preserve"> con il </w:t>
      </w:r>
      <w:r w:rsidR="001951EA">
        <w:rPr>
          <w:rFonts w:eastAsia="Times New Roman" w:cs="Times New Roman"/>
          <w:lang w:eastAsia="it-IT"/>
        </w:rPr>
        <w:t>1</w:t>
      </w:r>
      <w:r w:rsidR="0079494D">
        <w:rPr>
          <w:rFonts w:eastAsia="Times New Roman" w:cs="Times New Roman"/>
          <w:lang w:eastAsia="it-IT"/>
        </w:rPr>
        <w:t>7</w:t>
      </w:r>
      <w:r w:rsidRPr="000E460B">
        <w:rPr>
          <w:rFonts w:eastAsia="Times New Roman" w:cs="Times New Roman"/>
          <w:lang w:eastAsia="it-IT"/>
        </w:rPr>
        <w:t>,</w:t>
      </w:r>
      <w:r w:rsidR="0079494D">
        <w:rPr>
          <w:rFonts w:eastAsia="Times New Roman" w:cs="Times New Roman"/>
          <w:lang w:eastAsia="it-IT"/>
        </w:rPr>
        <w:t>77</w:t>
      </w:r>
      <w:r w:rsidRPr="000E460B">
        <w:rPr>
          <w:rFonts w:eastAsia="Times New Roman" w:cs="Times New Roman"/>
          <w:lang w:eastAsia="it-IT"/>
        </w:rPr>
        <w:t>% del mercato</w:t>
      </w:r>
      <w:r w:rsidR="0079494D">
        <w:rPr>
          <w:rFonts w:eastAsia="Times New Roman" w:cs="Times New Roman"/>
          <w:lang w:eastAsia="it-IT"/>
        </w:rPr>
        <w:t>;</w:t>
      </w:r>
      <w:r w:rsidRPr="000E460B">
        <w:rPr>
          <w:rFonts w:eastAsia="Times New Roman" w:cs="Times New Roman"/>
          <w:lang w:eastAsia="it-IT"/>
        </w:rPr>
        <w:t xml:space="preserve"> </w:t>
      </w:r>
      <w:r w:rsidR="00CA63DD" w:rsidRPr="00EB267C">
        <w:rPr>
          <w:rFonts w:eastAsia="Times New Roman" w:cs="Times New Roman"/>
          <w:b/>
          <w:lang w:eastAsia="it-IT"/>
        </w:rPr>
        <w:t>UNICREDIT BANK AG</w:t>
      </w:r>
      <w:r w:rsidR="00CA63DD" w:rsidRPr="000E460B">
        <w:rPr>
          <w:rFonts w:eastAsia="Times New Roman" w:cs="Times New Roman"/>
          <w:lang w:eastAsia="it-IT"/>
        </w:rPr>
        <w:t xml:space="preserve"> </w:t>
      </w:r>
      <w:r w:rsidR="001951EA" w:rsidRPr="000E460B">
        <w:rPr>
          <w:rFonts w:eastAsia="Times New Roman" w:cs="Times New Roman"/>
          <w:lang w:eastAsia="it-IT"/>
        </w:rPr>
        <w:t>su SeDe</w:t>
      </w:r>
      <w:r w:rsidR="001951EA">
        <w:rPr>
          <w:rFonts w:eastAsia="Times New Roman" w:cs="Times New Roman"/>
          <w:lang w:eastAsia="it-IT"/>
        </w:rPr>
        <w:t>X</w:t>
      </w:r>
      <w:r w:rsidR="00453F04">
        <w:rPr>
          <w:rFonts w:eastAsia="Times New Roman" w:cs="Times New Roman"/>
          <w:lang w:eastAsia="it-IT"/>
        </w:rPr>
        <w:t>,</w:t>
      </w:r>
      <w:r w:rsidR="001951EA" w:rsidRPr="000E460B">
        <w:rPr>
          <w:rFonts w:eastAsia="Times New Roman" w:cs="Times New Roman"/>
          <w:lang w:eastAsia="it-IT"/>
        </w:rPr>
        <w:t xml:space="preserve"> con il 1</w:t>
      </w:r>
      <w:r w:rsidR="003470D4">
        <w:rPr>
          <w:rFonts w:eastAsia="Times New Roman" w:cs="Times New Roman"/>
          <w:lang w:eastAsia="it-IT"/>
        </w:rPr>
        <w:t>7</w:t>
      </w:r>
      <w:r w:rsidR="001951EA" w:rsidRPr="000E460B">
        <w:rPr>
          <w:rFonts w:eastAsia="Times New Roman" w:cs="Times New Roman"/>
          <w:lang w:eastAsia="it-IT"/>
        </w:rPr>
        <w:t>,</w:t>
      </w:r>
      <w:r w:rsidR="00CA63DD">
        <w:rPr>
          <w:rFonts w:eastAsia="Times New Roman" w:cs="Times New Roman"/>
          <w:lang w:eastAsia="it-IT"/>
        </w:rPr>
        <w:t>5</w:t>
      </w:r>
      <w:r w:rsidR="0079494D">
        <w:rPr>
          <w:rFonts w:eastAsia="Times New Roman" w:cs="Times New Roman"/>
          <w:lang w:eastAsia="it-IT"/>
        </w:rPr>
        <w:t>0</w:t>
      </w:r>
      <w:r w:rsidR="001951EA" w:rsidRPr="000E460B">
        <w:rPr>
          <w:rFonts w:eastAsia="Times New Roman" w:cs="Times New Roman"/>
          <w:lang w:eastAsia="it-IT"/>
        </w:rPr>
        <w:t>% del mercato</w:t>
      </w:r>
      <w:r w:rsidR="00CA63DD">
        <w:rPr>
          <w:rFonts w:eastAsia="Times New Roman" w:cs="Times New Roman"/>
          <w:lang w:eastAsia="it-IT"/>
        </w:rPr>
        <w:t>;</w:t>
      </w:r>
      <w:r w:rsidR="001951EA">
        <w:rPr>
          <w:rFonts w:eastAsia="Times New Roman" w:cs="Times New Roman"/>
          <w:lang w:eastAsia="it-IT"/>
        </w:rPr>
        <w:t xml:space="preserve"> </w:t>
      </w:r>
      <w:r w:rsidR="00CA63DD" w:rsidRPr="001951EA">
        <w:rPr>
          <w:rFonts w:eastAsia="Times New Roman" w:cs="Times New Roman"/>
          <w:b/>
          <w:lang w:eastAsia="it-IT"/>
        </w:rPr>
        <w:t>FINECOBANK</w:t>
      </w:r>
      <w:r w:rsidR="00CA63DD">
        <w:rPr>
          <w:rFonts w:eastAsia="Times New Roman" w:cs="Times New Roman"/>
          <w:lang w:eastAsia="it-IT"/>
        </w:rPr>
        <w:t xml:space="preserve"> </w:t>
      </w:r>
      <w:r w:rsidR="00CA63DD" w:rsidRPr="000E460B">
        <w:rPr>
          <w:rFonts w:eastAsia="Times New Roman" w:cs="Times New Roman"/>
          <w:lang w:eastAsia="it-IT"/>
        </w:rPr>
        <w:t>su Mini Futures su Indice</w:t>
      </w:r>
      <w:r w:rsidR="00CA63DD">
        <w:rPr>
          <w:rFonts w:eastAsia="Times New Roman" w:cs="Times New Roman"/>
          <w:lang w:eastAsia="it-IT"/>
        </w:rPr>
        <w:t>,</w:t>
      </w:r>
      <w:r w:rsidR="00CA63DD" w:rsidRPr="000E460B">
        <w:rPr>
          <w:rFonts w:eastAsia="Times New Roman" w:cs="Times New Roman"/>
          <w:lang w:eastAsia="it-IT"/>
        </w:rPr>
        <w:t xml:space="preserve"> con il 1</w:t>
      </w:r>
      <w:r w:rsidR="0079494D">
        <w:rPr>
          <w:rFonts w:eastAsia="Times New Roman" w:cs="Times New Roman"/>
          <w:lang w:eastAsia="it-IT"/>
        </w:rPr>
        <w:t>2</w:t>
      </w:r>
      <w:r w:rsidR="00CA63DD" w:rsidRPr="000E460B">
        <w:rPr>
          <w:rFonts w:eastAsia="Times New Roman" w:cs="Times New Roman"/>
          <w:lang w:eastAsia="it-IT"/>
        </w:rPr>
        <w:t>,</w:t>
      </w:r>
      <w:r w:rsidR="0079494D">
        <w:rPr>
          <w:rFonts w:eastAsia="Times New Roman" w:cs="Times New Roman"/>
          <w:lang w:eastAsia="it-IT"/>
        </w:rPr>
        <w:t>20</w:t>
      </w:r>
      <w:r w:rsidR="00CA63DD" w:rsidRPr="000E460B">
        <w:rPr>
          <w:rFonts w:eastAsia="Times New Roman" w:cs="Times New Roman"/>
          <w:lang w:eastAsia="it-IT"/>
        </w:rPr>
        <w:t>% del mercato</w:t>
      </w:r>
      <w:r w:rsidR="0079494D">
        <w:rPr>
          <w:rFonts w:eastAsia="Times New Roman" w:cs="Times New Roman"/>
          <w:lang w:eastAsia="it-IT"/>
        </w:rPr>
        <w:t>;</w:t>
      </w:r>
      <w:r w:rsidR="00396F5D">
        <w:rPr>
          <w:rFonts w:eastAsia="Times New Roman" w:cs="Times New Roman"/>
          <w:lang w:eastAsia="it-IT"/>
        </w:rPr>
        <w:t xml:space="preserve"> </w:t>
      </w:r>
      <w:r w:rsidR="0079494D">
        <w:rPr>
          <w:rFonts w:eastAsia="Times New Roman" w:cs="Times New Roman"/>
          <w:b/>
          <w:lang w:eastAsia="it-IT"/>
        </w:rPr>
        <w:t>MEDIOBANCA</w:t>
      </w:r>
      <w:r w:rsidR="00396F5D">
        <w:rPr>
          <w:rFonts w:eastAsia="Times New Roman" w:cs="Times New Roman"/>
          <w:lang w:eastAsia="it-IT"/>
        </w:rPr>
        <w:t xml:space="preserve"> </w:t>
      </w:r>
      <w:r w:rsidR="00396F5D" w:rsidRPr="000E460B">
        <w:rPr>
          <w:rFonts w:eastAsia="Times New Roman" w:cs="Times New Roman"/>
          <w:lang w:eastAsia="it-IT"/>
        </w:rPr>
        <w:t>su Futures su Azioni</w:t>
      </w:r>
      <w:r w:rsidR="00396F5D">
        <w:rPr>
          <w:rFonts w:eastAsia="Times New Roman" w:cs="Times New Roman"/>
          <w:lang w:eastAsia="it-IT"/>
        </w:rPr>
        <w:t>,</w:t>
      </w:r>
      <w:r w:rsidR="00396F5D" w:rsidRPr="000E460B">
        <w:rPr>
          <w:rFonts w:eastAsia="Times New Roman" w:cs="Times New Roman"/>
          <w:lang w:eastAsia="it-IT"/>
        </w:rPr>
        <w:t xml:space="preserve"> con il </w:t>
      </w:r>
      <w:r w:rsidR="0079494D">
        <w:rPr>
          <w:rFonts w:eastAsia="Times New Roman" w:cs="Times New Roman"/>
          <w:lang w:eastAsia="it-IT"/>
        </w:rPr>
        <w:t>5</w:t>
      </w:r>
      <w:r w:rsidR="00396F5D" w:rsidRPr="000E460B">
        <w:rPr>
          <w:rFonts w:eastAsia="Times New Roman" w:cs="Times New Roman"/>
          <w:lang w:eastAsia="it-IT"/>
        </w:rPr>
        <w:t>,</w:t>
      </w:r>
      <w:r w:rsidR="0079494D">
        <w:rPr>
          <w:rFonts w:eastAsia="Times New Roman" w:cs="Times New Roman"/>
          <w:lang w:eastAsia="it-IT"/>
        </w:rPr>
        <w:t>40</w:t>
      </w:r>
      <w:r w:rsidR="00396F5D" w:rsidRPr="000E460B">
        <w:rPr>
          <w:rFonts w:eastAsia="Times New Roman" w:cs="Times New Roman"/>
          <w:lang w:eastAsia="it-IT"/>
        </w:rPr>
        <w:t>% del mercato</w:t>
      </w:r>
      <w:r w:rsidR="0079494D">
        <w:rPr>
          <w:rFonts w:eastAsia="Times New Roman" w:cs="Times New Roman"/>
          <w:lang w:eastAsia="it-IT"/>
        </w:rPr>
        <w:t>.</w:t>
      </w:r>
      <w:r w:rsidR="00CA63DD" w:rsidRPr="00CA63DD">
        <w:rPr>
          <w:rFonts w:eastAsia="Times New Roman" w:cs="Times New Roman"/>
          <w:b/>
          <w:lang w:eastAsia="it-IT"/>
        </w:rPr>
        <w:t xml:space="preserve"> </w:t>
      </w:r>
    </w:p>
    <w:p w14:paraId="54D64BA4" w14:textId="77777777" w:rsidR="00F85D74" w:rsidRPr="00F85D74" w:rsidRDefault="00F85D74" w:rsidP="00F85D74">
      <w:pPr>
        <w:spacing w:after="0"/>
        <w:jc w:val="center"/>
        <w:rPr>
          <w:rFonts w:eastAsia="Times New Roman" w:cs="Times New Roman"/>
          <w:b/>
          <w:lang w:eastAsia="it-IT"/>
        </w:rPr>
      </w:pPr>
    </w:p>
    <w:p w14:paraId="21BEFE2A" w14:textId="77777777" w:rsidR="00875087" w:rsidRDefault="00875087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4DA8C490" w14:textId="77777777" w:rsidR="00AF7E2F" w:rsidRDefault="00AF7E2F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35B2D74C" w14:textId="77777777" w:rsidR="0046537A" w:rsidRDefault="0046537A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5AFCC327" w14:textId="6C94DE66" w:rsidR="00BB0B84" w:rsidRDefault="00BB0B84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2624E212" w14:textId="70019F7B" w:rsidR="00DB0B16" w:rsidRDefault="00DB0B16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095034D0" w14:textId="77777777" w:rsidR="00DB0B16" w:rsidRDefault="00DB0B16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0AAE1B29" w14:textId="39740461" w:rsidR="00AF7E2F" w:rsidRDefault="00AF7E2F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32D8DCC6" w14:textId="449A621C" w:rsidR="00DB0B16" w:rsidRDefault="00DB0B16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71B29F44" w14:textId="77777777" w:rsidR="00DB0B16" w:rsidRDefault="00DB0B16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5EB7DF05" w14:textId="77777777" w:rsidR="00BB0B84" w:rsidRDefault="00BB0B84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1D098B48" w14:textId="01CF0639" w:rsidR="00612D3E" w:rsidRDefault="00612D3E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7E2E5E64" w14:textId="4CBAB34F" w:rsidR="004902D6" w:rsidRDefault="004902D6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6DE10940" w14:textId="77777777" w:rsidR="00612D3E" w:rsidRDefault="00612D3E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5850B73E" w14:textId="77777777" w:rsidR="005F4942" w:rsidRDefault="005F4942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4E9D7B1F" w14:textId="77777777" w:rsidR="002E3078" w:rsidRDefault="002E3078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3C319787" w14:textId="77777777" w:rsidR="0007572A" w:rsidRDefault="0007572A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12099D39" w14:textId="77777777" w:rsidR="0051276D" w:rsidRPr="000E460B" w:rsidRDefault="0051276D" w:rsidP="005E65C3">
      <w:pPr>
        <w:spacing w:after="0" w:line="240" w:lineRule="auto"/>
        <w:ind w:left="284"/>
        <w:jc w:val="both"/>
        <w:rPr>
          <w:rFonts w:eastAsia="Times New Roman" w:cs="Times New Roman"/>
          <w:lang w:eastAsia="it-IT"/>
        </w:rPr>
      </w:pPr>
    </w:p>
    <w:p w14:paraId="4F6EB4EB" w14:textId="414EA3EF" w:rsidR="00F85D74" w:rsidRPr="00F85D74" w:rsidRDefault="00F85D74" w:rsidP="00F85D74">
      <w:pPr>
        <w:spacing w:after="0" w:line="240" w:lineRule="auto"/>
        <w:jc w:val="center"/>
        <w:rPr>
          <w:rFonts w:eastAsia="Times New Roman" w:cs="Times New Roman"/>
          <w:color w:val="4F81BD" w:themeColor="accent1"/>
          <w:lang w:eastAsia="it-IT"/>
        </w:rPr>
      </w:pPr>
      <w:r w:rsidRPr="00F85D74">
        <w:rPr>
          <w:rFonts w:eastAsia="Times New Roman" w:cs="Times New Roman"/>
          <w:b/>
          <w:color w:val="4F81BD" w:themeColor="accent1"/>
          <w:lang w:eastAsia="it-IT"/>
        </w:rPr>
        <w:t xml:space="preserve">Alcune informazioni su </w:t>
      </w:r>
      <w:r w:rsidR="00495460" w:rsidRPr="00495460">
        <w:rPr>
          <w:rFonts w:eastAsia="Times New Roman" w:cs="Times New Roman"/>
          <w:b/>
          <w:color w:val="4F81BD" w:themeColor="accent1"/>
          <w:lang w:eastAsia="it-IT"/>
        </w:rPr>
        <w:t>Associazione Intermediari Mercati Finanziari – ASSOSIM</w:t>
      </w:r>
      <w:r w:rsidRPr="00495460">
        <w:rPr>
          <w:rFonts w:eastAsia="Times New Roman" w:cs="Times New Roman"/>
          <w:b/>
          <w:color w:val="4F81BD" w:themeColor="accent1"/>
          <w:lang w:eastAsia="it-IT"/>
        </w:rPr>
        <w:t>.</w:t>
      </w:r>
    </w:p>
    <w:p w14:paraId="651F7775" w14:textId="6D253B1D" w:rsidR="00F85D74" w:rsidRPr="00F85D74" w:rsidRDefault="00495460" w:rsidP="006A4789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495460">
        <w:rPr>
          <w:rFonts w:eastAsia="Times New Roman" w:cs="Times New Roman"/>
          <w:lang w:eastAsia="it-IT"/>
        </w:rPr>
        <w:t>Associazione Intermediari Mercati Finanziari – ASSOSIM</w:t>
      </w:r>
      <w:r w:rsidR="00F85D74" w:rsidRPr="00F85D74">
        <w:rPr>
          <w:rFonts w:eastAsia="Times New Roman" w:cs="Times New Roman"/>
          <w:lang w:eastAsia="it-IT"/>
        </w:rPr>
        <w:t xml:space="preserve"> rappresenta gli</w:t>
      </w:r>
      <w:r w:rsidR="006D79F1">
        <w:rPr>
          <w:rFonts w:eastAsia="Times New Roman" w:cs="Times New Roman"/>
          <w:lang w:eastAsia="it-IT"/>
        </w:rPr>
        <w:t xml:space="preserve"> interessi degli</w:t>
      </w:r>
      <w:r w:rsidR="00F85D74" w:rsidRPr="00F85D74">
        <w:rPr>
          <w:rFonts w:eastAsia="Times New Roman" w:cs="Times New Roman"/>
          <w:lang w:eastAsia="it-IT"/>
        </w:rPr>
        <w:t xml:space="preserve"> operatori del mercato italiano nei confronti </w:t>
      </w:r>
      <w:r w:rsidR="00AF78CE">
        <w:rPr>
          <w:rFonts w:eastAsia="Times New Roman" w:cs="Times New Roman"/>
          <w:lang w:eastAsia="it-IT"/>
        </w:rPr>
        <w:t>delle Istituzioni, delle A</w:t>
      </w:r>
      <w:r w:rsidR="006D79F1">
        <w:rPr>
          <w:rFonts w:eastAsia="Times New Roman" w:cs="Times New Roman"/>
          <w:lang w:eastAsia="it-IT"/>
        </w:rPr>
        <w:t xml:space="preserve">utorità di vigilanza </w:t>
      </w:r>
      <w:r w:rsidR="00AF78CE">
        <w:rPr>
          <w:rFonts w:eastAsia="Times New Roman" w:cs="Times New Roman"/>
          <w:lang w:eastAsia="it-IT"/>
        </w:rPr>
        <w:t xml:space="preserve">e </w:t>
      </w:r>
      <w:r w:rsidR="00F85D74" w:rsidRPr="00F85D74">
        <w:rPr>
          <w:rFonts w:eastAsia="Times New Roman" w:cs="Times New Roman"/>
          <w:lang w:eastAsia="it-IT"/>
        </w:rPr>
        <w:t xml:space="preserve">delle altre </w:t>
      </w:r>
      <w:r w:rsidR="00AF78CE">
        <w:rPr>
          <w:rFonts w:eastAsia="Times New Roman" w:cs="Times New Roman"/>
          <w:lang w:eastAsia="it-IT"/>
        </w:rPr>
        <w:t>o</w:t>
      </w:r>
      <w:r w:rsidR="00F85D74" w:rsidRPr="00F85D74">
        <w:rPr>
          <w:rFonts w:eastAsia="Times New Roman" w:cs="Times New Roman"/>
          <w:lang w:eastAsia="it-IT"/>
        </w:rPr>
        <w:t>rganizzazioni economiche e sociali</w:t>
      </w:r>
      <w:r w:rsidR="00AF78CE" w:rsidRPr="00AF78CE">
        <w:rPr>
          <w:rFonts w:eastAsia="Times New Roman" w:cs="Times New Roman"/>
          <w:lang w:eastAsia="it-IT"/>
        </w:rPr>
        <w:t xml:space="preserve"> </w:t>
      </w:r>
      <w:r w:rsidR="00AF78CE">
        <w:rPr>
          <w:rFonts w:eastAsia="Times New Roman" w:cs="Times New Roman"/>
          <w:lang w:eastAsia="it-IT"/>
        </w:rPr>
        <w:t>italiane, sovranazionali ed estere</w:t>
      </w:r>
      <w:r w:rsidR="00AF78CE" w:rsidRPr="00F85D74">
        <w:rPr>
          <w:rFonts w:eastAsia="Times New Roman" w:cs="Times New Roman"/>
          <w:lang w:eastAsia="it-IT"/>
        </w:rPr>
        <w:t>,</w:t>
      </w:r>
      <w:r w:rsidR="00F85D74" w:rsidRPr="00F85D74">
        <w:rPr>
          <w:rFonts w:eastAsia="Times New Roman" w:cs="Times New Roman"/>
          <w:lang w:eastAsia="it-IT"/>
        </w:rPr>
        <w:t xml:space="preserve"> </w:t>
      </w:r>
      <w:r w:rsidR="00AF78CE">
        <w:rPr>
          <w:rFonts w:eastAsia="Times New Roman" w:cs="Times New Roman"/>
          <w:lang w:eastAsia="it-IT"/>
        </w:rPr>
        <w:t xml:space="preserve">nonché </w:t>
      </w:r>
      <w:r w:rsidR="00F85D74" w:rsidRPr="00F85D74">
        <w:rPr>
          <w:rFonts w:eastAsia="Times New Roman" w:cs="Times New Roman"/>
          <w:lang w:eastAsia="it-IT"/>
        </w:rPr>
        <w:t>d</w:t>
      </w:r>
      <w:r w:rsidR="00AF78CE">
        <w:rPr>
          <w:rFonts w:eastAsia="Times New Roman" w:cs="Times New Roman"/>
          <w:lang w:eastAsia="it-IT"/>
        </w:rPr>
        <w:t>elle</w:t>
      </w:r>
      <w:r w:rsidR="00F85D74" w:rsidRPr="00F85D74">
        <w:rPr>
          <w:rFonts w:eastAsia="Times New Roman" w:cs="Times New Roman"/>
          <w:lang w:eastAsia="it-IT"/>
        </w:rPr>
        <w:t xml:space="preserve"> altre </w:t>
      </w:r>
      <w:r w:rsidR="006D79F1">
        <w:rPr>
          <w:rFonts w:eastAsia="Times New Roman" w:cs="Times New Roman"/>
          <w:lang w:eastAsia="it-IT"/>
        </w:rPr>
        <w:t>a</w:t>
      </w:r>
      <w:r w:rsidR="00F85D74" w:rsidRPr="00F85D74">
        <w:rPr>
          <w:rFonts w:eastAsia="Times New Roman" w:cs="Times New Roman"/>
          <w:lang w:eastAsia="it-IT"/>
        </w:rPr>
        <w:t xml:space="preserve">ssociazioni </w:t>
      </w:r>
      <w:r w:rsidR="006D79F1">
        <w:rPr>
          <w:rFonts w:eastAsia="Times New Roman" w:cs="Times New Roman"/>
          <w:lang w:eastAsia="it-IT"/>
        </w:rPr>
        <w:t>ed e</w:t>
      </w:r>
      <w:r w:rsidR="00F85D74" w:rsidRPr="00F85D74">
        <w:rPr>
          <w:rFonts w:eastAsia="Times New Roman" w:cs="Times New Roman"/>
          <w:lang w:eastAsia="it-IT"/>
        </w:rPr>
        <w:t xml:space="preserve">nti privati. </w:t>
      </w:r>
    </w:p>
    <w:p w14:paraId="0336A66A" w14:textId="7D85C792" w:rsidR="003C7DB8" w:rsidRDefault="00453F04" w:rsidP="008B0973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L’Associazione </w:t>
      </w:r>
      <w:r w:rsidR="00F85D74" w:rsidRPr="00F85D74">
        <w:rPr>
          <w:rFonts w:eastAsia="Times New Roman" w:cs="Times New Roman"/>
          <w:lang w:eastAsia="it-IT"/>
        </w:rPr>
        <w:t xml:space="preserve">conta circa </w:t>
      </w:r>
      <w:r w:rsidR="006447C1">
        <w:rPr>
          <w:rFonts w:eastAsia="Times New Roman" w:cs="Times New Roman"/>
          <w:lang w:eastAsia="it-IT"/>
        </w:rPr>
        <w:t>70</w:t>
      </w:r>
      <w:r w:rsidR="00F85D74" w:rsidRPr="00F85D74">
        <w:rPr>
          <w:rFonts w:eastAsia="Times New Roman" w:cs="Times New Roman"/>
          <w:lang w:eastAsia="it-IT"/>
        </w:rPr>
        <w:t xml:space="preserve"> associati (Banche, Società d’Intermediazione Mobiliare, succursali italiane di Intermediari Esteri), attivi sul mercato primario e secondario e su quello dei derivati</w:t>
      </w:r>
      <w:r w:rsidR="00BD3DEE">
        <w:rPr>
          <w:rFonts w:eastAsia="Times New Roman" w:cs="Times New Roman"/>
          <w:lang w:eastAsia="it-IT"/>
        </w:rPr>
        <w:t xml:space="preserve">, nonché circa </w:t>
      </w:r>
      <w:r w:rsidR="004F3ED9">
        <w:rPr>
          <w:rFonts w:eastAsia="Times New Roman" w:cs="Times New Roman"/>
          <w:lang w:eastAsia="it-IT"/>
        </w:rPr>
        <w:t>25</w:t>
      </w:r>
      <w:r w:rsidR="00BD3DEE">
        <w:rPr>
          <w:rFonts w:eastAsia="Times New Roman" w:cs="Times New Roman"/>
          <w:lang w:eastAsia="it-IT"/>
        </w:rPr>
        <w:t xml:space="preserve"> aderenti tra </w:t>
      </w:r>
      <w:r w:rsidR="00F85D74" w:rsidRPr="00F85D74">
        <w:rPr>
          <w:rFonts w:eastAsia="Times New Roman" w:cs="Times New Roman"/>
          <w:lang w:eastAsia="it-IT"/>
        </w:rPr>
        <w:t xml:space="preserve">Studi Legali, Società di Consulenza e di Sviluppo di Soluzioni Informatiche e </w:t>
      </w:r>
      <w:r w:rsidR="008B795C">
        <w:rPr>
          <w:rFonts w:eastAsia="Times New Roman" w:cs="Times New Roman"/>
          <w:lang w:eastAsia="it-IT"/>
        </w:rPr>
        <w:t xml:space="preserve">tutti </w:t>
      </w:r>
      <w:r w:rsidR="00F85D74" w:rsidRPr="00F85D74">
        <w:rPr>
          <w:rFonts w:eastAsia="Times New Roman" w:cs="Times New Roman"/>
          <w:lang w:eastAsia="it-IT"/>
        </w:rPr>
        <w:t>quei soggetti che</w:t>
      </w:r>
      <w:r w:rsidR="008B795C">
        <w:rPr>
          <w:rFonts w:eastAsia="Times New Roman" w:cs="Times New Roman"/>
          <w:lang w:eastAsia="it-IT"/>
        </w:rPr>
        <w:t>, in generale,</w:t>
      </w:r>
      <w:r w:rsidR="00F85D74" w:rsidRPr="00F85D74">
        <w:rPr>
          <w:rFonts w:eastAsia="Times New Roman" w:cs="Times New Roman"/>
          <w:lang w:eastAsia="it-IT"/>
        </w:rPr>
        <w:t xml:space="preserve"> forniscono servizi agli Intermediari Mobiliari.</w:t>
      </w:r>
    </w:p>
    <w:p w14:paraId="4AF6F9D3" w14:textId="78F22E13" w:rsidR="00CE7A48" w:rsidRDefault="00CE7A48" w:rsidP="008B0973">
      <w:pPr>
        <w:jc w:val="both"/>
        <w:rPr>
          <w:rFonts w:eastAsia="Times New Roman" w:cs="Times New Roman"/>
          <w:lang w:eastAsia="it-IT"/>
        </w:rPr>
      </w:pPr>
    </w:p>
    <w:p w14:paraId="2B48EED3" w14:textId="0614093E" w:rsidR="006C532D" w:rsidRDefault="006C532D" w:rsidP="008B0973">
      <w:pPr>
        <w:jc w:val="both"/>
        <w:rPr>
          <w:rFonts w:eastAsia="Times New Roman" w:cs="Times New Roman"/>
          <w:lang w:eastAsia="it-IT"/>
        </w:rPr>
      </w:pPr>
    </w:p>
    <w:p w14:paraId="49B34506" w14:textId="77777777" w:rsidR="007E6858" w:rsidRDefault="007E6858" w:rsidP="008B0973">
      <w:pPr>
        <w:jc w:val="both"/>
        <w:rPr>
          <w:rFonts w:eastAsia="Times New Roman" w:cs="Times New Roman"/>
          <w:lang w:eastAsia="it-IT"/>
        </w:rPr>
      </w:pPr>
    </w:p>
    <w:p w14:paraId="23AE5832" w14:textId="77777777" w:rsidR="00A50B47" w:rsidRDefault="00A50B47" w:rsidP="008B0973">
      <w:pPr>
        <w:jc w:val="both"/>
        <w:rPr>
          <w:rFonts w:eastAsia="Times New Roman" w:cs="Times New Roman"/>
          <w:lang w:eastAsia="it-IT"/>
        </w:rPr>
      </w:pPr>
    </w:p>
    <w:p w14:paraId="330EDBAA" w14:textId="77777777" w:rsidR="00F85D74" w:rsidRDefault="00F85D74"/>
    <w:p w14:paraId="0C8B2CF9" w14:textId="77777777" w:rsidR="003177C6" w:rsidRDefault="003177C6">
      <w:pPr>
        <w:sectPr w:rsidR="003177C6" w:rsidSect="00EE20F8">
          <w:headerReference w:type="default" r:id="rId9"/>
          <w:footerReference w:type="default" r:id="rId10"/>
          <w:headerReference w:type="first" r:id="rId11"/>
          <w:pgSz w:w="11906" w:h="16838"/>
          <w:pgMar w:top="1417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14:paraId="52490879" w14:textId="50C41811" w:rsidR="00F85D74" w:rsidRPr="00F85D74" w:rsidRDefault="00F85D74" w:rsidP="00F85D74">
      <w:pPr>
        <w:spacing w:after="0"/>
        <w:jc w:val="center"/>
        <w:rPr>
          <w:color w:val="4F81BD" w:themeColor="accent1"/>
        </w:rPr>
      </w:pPr>
      <w:r w:rsidRPr="00F85D74">
        <w:rPr>
          <w:color w:val="4F81BD" w:themeColor="accent1"/>
        </w:rPr>
        <w:lastRenderedPageBreak/>
        <w:t xml:space="preserve">AZIONI: CLASSIFICA PER CONTROVALORI </w:t>
      </w:r>
    </w:p>
    <w:p w14:paraId="56D6F6C0" w14:textId="30B27F69" w:rsidR="00F85D74" w:rsidRDefault="00F85D74" w:rsidP="00F85D74">
      <w:pPr>
        <w:spacing w:after="0"/>
        <w:jc w:val="center"/>
        <w:rPr>
          <w:color w:val="4F81BD" w:themeColor="accent1"/>
        </w:rPr>
      </w:pPr>
      <w:r w:rsidRPr="00F85D74">
        <w:rPr>
          <w:color w:val="4F81BD" w:themeColor="accent1"/>
        </w:rPr>
        <w:t xml:space="preserve">INTERMEDIARI ASSOSIM </w:t>
      </w:r>
      <w:r w:rsidR="005E44F5">
        <w:rPr>
          <w:color w:val="4F81BD" w:themeColor="accent1"/>
        </w:rPr>
        <w:t xml:space="preserve">1° SEM. </w:t>
      </w:r>
      <w:r w:rsidR="005E44F5" w:rsidRPr="00F85D74">
        <w:rPr>
          <w:color w:val="4F81BD" w:themeColor="accent1"/>
        </w:rPr>
        <w:t>201</w:t>
      </w:r>
      <w:r w:rsidR="005E44F5">
        <w:rPr>
          <w:color w:val="4F81BD" w:themeColor="accent1"/>
        </w:rPr>
        <w:t>8</w:t>
      </w:r>
    </w:p>
    <w:p w14:paraId="0FC51A11" w14:textId="796FBCD9" w:rsidR="00065720" w:rsidRPr="009D588E" w:rsidRDefault="009D588E" w:rsidP="00F85D74">
      <w:pPr>
        <w:spacing w:after="0"/>
        <w:jc w:val="center"/>
        <w:rPr>
          <w:color w:val="4F81BD" w:themeColor="accent1"/>
        </w:rPr>
      </w:pPr>
      <w:r w:rsidRPr="009D588E">
        <w:rPr>
          <w:color w:val="4F81BD" w:themeColor="accent1"/>
        </w:rPr>
        <w:t>(OPERATIVITÀ IN CONTO TERZI)</w:t>
      </w:r>
    </w:p>
    <w:tbl>
      <w:tblPr>
        <w:tblStyle w:val="Sfondomedio2-Colore1"/>
        <w:tblpPr w:leftFromText="141" w:rightFromText="141" w:vertAnchor="text" w:tblpY="1"/>
        <w:tblW w:w="4644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</w:tblGrid>
      <w:tr w:rsidR="00F85D74" w:rsidRPr="00F85D74" w14:paraId="07E0349B" w14:textId="77777777" w:rsidTr="00AF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noWrap/>
            <w:hideMark/>
          </w:tcPr>
          <w:p w14:paraId="1785AA63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SOCIETA'</w:t>
            </w:r>
          </w:p>
        </w:tc>
        <w:tc>
          <w:tcPr>
            <w:tcW w:w="1984" w:type="dxa"/>
            <w:noWrap/>
            <w:hideMark/>
          </w:tcPr>
          <w:p w14:paraId="7DE651E2" w14:textId="77777777" w:rsidR="00F85D74" w:rsidRPr="00F85D74" w:rsidRDefault="00F85D74" w:rsidP="00F85D7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Quota di mercato</w:t>
            </w:r>
          </w:p>
        </w:tc>
      </w:tr>
      <w:tr w:rsidR="008A7995" w:rsidRPr="00F85D74" w14:paraId="0A5AB6B0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F4EC832" w14:textId="6D19C85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Finecobank</w:t>
            </w:r>
          </w:p>
        </w:tc>
        <w:tc>
          <w:tcPr>
            <w:tcW w:w="1984" w:type="dxa"/>
            <w:noWrap/>
          </w:tcPr>
          <w:p w14:paraId="4C62EE3F" w14:textId="7B0EA02D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24,00%</w:t>
            </w:r>
          </w:p>
        </w:tc>
      </w:tr>
      <w:tr w:rsidR="008A7995" w:rsidRPr="00F85D74" w14:paraId="47E05410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51F4292" w14:textId="1126F21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IMI</w:t>
            </w:r>
          </w:p>
        </w:tc>
        <w:tc>
          <w:tcPr>
            <w:tcW w:w="1984" w:type="dxa"/>
            <w:noWrap/>
          </w:tcPr>
          <w:p w14:paraId="2B49C391" w14:textId="7B23C7D8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10,70%</w:t>
            </w:r>
          </w:p>
        </w:tc>
      </w:tr>
      <w:tr w:rsidR="008A7995" w:rsidRPr="00F85D74" w14:paraId="570C65B6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405C11C" w14:textId="1E214ED1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 xml:space="preserve">IwBank </w:t>
            </w:r>
          </w:p>
        </w:tc>
        <w:tc>
          <w:tcPr>
            <w:tcW w:w="1984" w:type="dxa"/>
            <w:noWrap/>
          </w:tcPr>
          <w:p w14:paraId="6BCDF3BC" w14:textId="26B6A015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8,69%</w:t>
            </w:r>
          </w:p>
        </w:tc>
      </w:tr>
      <w:tr w:rsidR="008A7995" w:rsidRPr="00F85D74" w14:paraId="059441B0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1A6DF0C" w14:textId="7ED97D31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Akros</w:t>
            </w:r>
          </w:p>
        </w:tc>
        <w:tc>
          <w:tcPr>
            <w:tcW w:w="1984" w:type="dxa"/>
            <w:noWrap/>
          </w:tcPr>
          <w:p w14:paraId="49C7805D" w14:textId="47280DC9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7,01%</w:t>
            </w:r>
          </w:p>
        </w:tc>
      </w:tr>
      <w:tr w:rsidR="008A7995" w:rsidRPr="00F85D74" w14:paraId="1CDE763C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3A89E82" w14:textId="78A4B5C3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Aletti</w:t>
            </w:r>
          </w:p>
        </w:tc>
        <w:tc>
          <w:tcPr>
            <w:tcW w:w="1984" w:type="dxa"/>
            <w:noWrap/>
          </w:tcPr>
          <w:p w14:paraId="16D5A317" w14:textId="66A5AEC9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5,93%</w:t>
            </w:r>
          </w:p>
        </w:tc>
      </w:tr>
      <w:tr w:rsidR="008A7995" w:rsidRPr="00F85D74" w14:paraId="7CA8A87F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D6A9D36" w14:textId="61DDE88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Equita SIM</w:t>
            </w:r>
          </w:p>
        </w:tc>
        <w:tc>
          <w:tcPr>
            <w:tcW w:w="1984" w:type="dxa"/>
            <w:noWrap/>
          </w:tcPr>
          <w:p w14:paraId="1E1DEA0D" w14:textId="7D2F3BE5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4,95%</w:t>
            </w:r>
          </w:p>
        </w:tc>
      </w:tr>
      <w:tr w:rsidR="008A7995" w:rsidRPr="00F85D74" w14:paraId="1C205D3A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D54FDAE" w14:textId="192DA80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Directa SIM</w:t>
            </w:r>
          </w:p>
        </w:tc>
        <w:tc>
          <w:tcPr>
            <w:tcW w:w="1984" w:type="dxa"/>
            <w:noWrap/>
          </w:tcPr>
          <w:p w14:paraId="7094EBA0" w14:textId="1819A918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4,81%</w:t>
            </w:r>
          </w:p>
        </w:tc>
      </w:tr>
      <w:tr w:rsidR="008A7995" w:rsidRPr="00F85D74" w14:paraId="529B4EAD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0A5368A" w14:textId="079313F8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Intermonte SIM</w:t>
            </w:r>
          </w:p>
        </w:tc>
        <w:tc>
          <w:tcPr>
            <w:tcW w:w="1984" w:type="dxa"/>
            <w:noWrap/>
          </w:tcPr>
          <w:p w14:paraId="7D2A1602" w14:textId="2B78BC96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3,79%</w:t>
            </w:r>
          </w:p>
        </w:tc>
      </w:tr>
      <w:tr w:rsidR="008A7995" w:rsidRPr="00F85D74" w14:paraId="4317B647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B2617BE" w14:textId="3071D04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Sella Holding</w:t>
            </w:r>
          </w:p>
        </w:tc>
        <w:tc>
          <w:tcPr>
            <w:tcW w:w="1984" w:type="dxa"/>
            <w:noWrap/>
          </w:tcPr>
          <w:p w14:paraId="6F69A624" w14:textId="51E7892D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3,76%</w:t>
            </w:r>
          </w:p>
        </w:tc>
      </w:tr>
      <w:tr w:rsidR="008A7995" w:rsidRPr="00F85D74" w14:paraId="403EEE28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7FB89DBA" w14:textId="194F528A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Unicredit Bank AG</w:t>
            </w:r>
          </w:p>
        </w:tc>
        <w:tc>
          <w:tcPr>
            <w:tcW w:w="1984" w:type="dxa"/>
            <w:noWrap/>
          </w:tcPr>
          <w:p w14:paraId="6887E3E6" w14:textId="3A867683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3,63%</w:t>
            </w:r>
          </w:p>
        </w:tc>
      </w:tr>
      <w:tr w:rsidR="008A7995" w:rsidRPr="00F85D74" w14:paraId="0972F3C5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9435B2F" w14:textId="131E3474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Nexi</w:t>
            </w:r>
          </w:p>
        </w:tc>
        <w:tc>
          <w:tcPr>
            <w:tcW w:w="1984" w:type="dxa"/>
            <w:noWrap/>
          </w:tcPr>
          <w:p w14:paraId="380DEE12" w14:textId="537D6065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2,56%</w:t>
            </w:r>
          </w:p>
        </w:tc>
      </w:tr>
      <w:tr w:rsidR="008A7995" w:rsidRPr="00F85D74" w14:paraId="5E19F7F4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9FE8E22" w14:textId="08CF0216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MPS Capital Services</w:t>
            </w:r>
          </w:p>
        </w:tc>
        <w:tc>
          <w:tcPr>
            <w:tcW w:w="1984" w:type="dxa"/>
            <w:noWrap/>
          </w:tcPr>
          <w:p w14:paraId="559F5F5B" w14:textId="0BE7F69C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1,57%</w:t>
            </w:r>
          </w:p>
        </w:tc>
      </w:tr>
      <w:tr w:rsidR="008A7995" w:rsidRPr="00F85D74" w14:paraId="5193B599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54A39F0" w14:textId="088FC576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Credem</w:t>
            </w:r>
          </w:p>
        </w:tc>
        <w:tc>
          <w:tcPr>
            <w:tcW w:w="1984" w:type="dxa"/>
            <w:noWrap/>
          </w:tcPr>
          <w:p w14:paraId="2B9D6E0D" w14:textId="5CEC7212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0,86%</w:t>
            </w:r>
          </w:p>
        </w:tc>
      </w:tr>
      <w:tr w:rsidR="008A7995" w:rsidRPr="00F85D74" w14:paraId="402E5556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AAA965C" w14:textId="0E96ED94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Mediobanca</w:t>
            </w:r>
          </w:p>
        </w:tc>
        <w:tc>
          <w:tcPr>
            <w:tcW w:w="1984" w:type="dxa"/>
            <w:noWrap/>
          </w:tcPr>
          <w:p w14:paraId="6D5710D9" w14:textId="75E10D9A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0,71%</w:t>
            </w:r>
          </w:p>
        </w:tc>
      </w:tr>
      <w:tr w:rsidR="008A7995" w:rsidRPr="00F85D74" w14:paraId="4766977A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C8C8B80" w14:textId="4F24F299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Invest Banca</w:t>
            </w:r>
          </w:p>
        </w:tc>
        <w:tc>
          <w:tcPr>
            <w:tcW w:w="1984" w:type="dxa"/>
            <w:noWrap/>
          </w:tcPr>
          <w:p w14:paraId="46D07D60" w14:textId="55D3D0D1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0,55%</w:t>
            </w:r>
          </w:p>
        </w:tc>
      </w:tr>
      <w:tr w:rsidR="008A7995" w:rsidRPr="00F85D74" w14:paraId="23D6E9A7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5CE07B9" w14:textId="577BBB63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Iccrea Banca</w:t>
            </w:r>
          </w:p>
        </w:tc>
        <w:tc>
          <w:tcPr>
            <w:tcW w:w="1984" w:type="dxa"/>
            <w:noWrap/>
          </w:tcPr>
          <w:p w14:paraId="0C0B2D56" w14:textId="39FED624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0,52%</w:t>
            </w:r>
          </w:p>
        </w:tc>
      </w:tr>
      <w:tr w:rsidR="008A7995" w:rsidRPr="00F85D74" w14:paraId="1E2A49C6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6CE61FF" w14:textId="40D09CB5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Generali</w:t>
            </w:r>
          </w:p>
        </w:tc>
        <w:tc>
          <w:tcPr>
            <w:tcW w:w="1984" w:type="dxa"/>
            <w:noWrap/>
          </w:tcPr>
          <w:p w14:paraId="36921B33" w14:textId="0069F25B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0,43%</w:t>
            </w:r>
          </w:p>
        </w:tc>
      </w:tr>
      <w:tr w:rsidR="008A7995" w:rsidRPr="00F85D74" w14:paraId="079D24B5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75CE707" w14:textId="1E189A2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Intermobiliare</w:t>
            </w:r>
          </w:p>
        </w:tc>
        <w:tc>
          <w:tcPr>
            <w:tcW w:w="1984" w:type="dxa"/>
            <w:noWrap/>
          </w:tcPr>
          <w:p w14:paraId="2217D6EE" w14:textId="7B834746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0,33%</w:t>
            </w:r>
          </w:p>
        </w:tc>
      </w:tr>
      <w:tr w:rsidR="008A7995" w:rsidRPr="00F85D74" w14:paraId="02C2EF04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295E8BB" w14:textId="30DDBDAE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Banca Finnat Euramerica</w:t>
            </w:r>
          </w:p>
        </w:tc>
        <w:tc>
          <w:tcPr>
            <w:tcW w:w="1984" w:type="dxa"/>
            <w:noWrap/>
          </w:tcPr>
          <w:p w14:paraId="3C0E1185" w14:textId="76524DCD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0,22%</w:t>
            </w:r>
          </w:p>
        </w:tc>
      </w:tr>
      <w:tr w:rsidR="008A7995" w:rsidRPr="00F85D74" w14:paraId="1509ABC0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B581BD0" w14:textId="45C27FF2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Merrill Lynch</w:t>
            </w:r>
          </w:p>
        </w:tc>
        <w:tc>
          <w:tcPr>
            <w:tcW w:w="1984" w:type="dxa"/>
            <w:noWrap/>
          </w:tcPr>
          <w:p w14:paraId="4E2FA63F" w14:textId="4E7FA5FC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0,07%</w:t>
            </w:r>
          </w:p>
        </w:tc>
      </w:tr>
      <w:tr w:rsidR="008A7995" w:rsidRPr="00F85D74" w14:paraId="23F02901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F0EAC62" w14:textId="51B3488B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Finsud SIM</w:t>
            </w:r>
          </w:p>
        </w:tc>
        <w:tc>
          <w:tcPr>
            <w:tcW w:w="1984" w:type="dxa"/>
            <w:noWrap/>
          </w:tcPr>
          <w:p w14:paraId="60F7F7F4" w14:textId="120F9FC6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0,06%</w:t>
            </w:r>
          </w:p>
        </w:tc>
      </w:tr>
      <w:tr w:rsidR="008A7995" w:rsidRPr="00F85D74" w14:paraId="6A89C888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F61CB47" w14:textId="65F2F055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Societe Generale</w:t>
            </w:r>
          </w:p>
        </w:tc>
        <w:tc>
          <w:tcPr>
            <w:tcW w:w="1984" w:type="dxa"/>
            <w:noWrap/>
          </w:tcPr>
          <w:p w14:paraId="75C03A4E" w14:textId="7C711FA1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0,02%</w:t>
            </w:r>
          </w:p>
        </w:tc>
      </w:tr>
      <w:tr w:rsidR="008A7995" w:rsidRPr="00F85D74" w14:paraId="50B75268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2DEEF89" w14:textId="33FAE60A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UBS Ltd</w:t>
            </w:r>
          </w:p>
        </w:tc>
        <w:tc>
          <w:tcPr>
            <w:tcW w:w="1984" w:type="dxa"/>
            <w:noWrap/>
          </w:tcPr>
          <w:p w14:paraId="7D982458" w14:textId="1AD7663E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0,02%</w:t>
            </w:r>
          </w:p>
        </w:tc>
      </w:tr>
      <w:tr w:rsidR="008A7995" w:rsidRPr="00F85D74" w14:paraId="3831E0E0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3E14529" w14:textId="3B57DC75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Citigroup</w:t>
            </w:r>
          </w:p>
        </w:tc>
        <w:tc>
          <w:tcPr>
            <w:tcW w:w="1984" w:type="dxa"/>
            <w:noWrap/>
          </w:tcPr>
          <w:p w14:paraId="14270685" w14:textId="547A0AA6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0,00%</w:t>
            </w:r>
          </w:p>
        </w:tc>
      </w:tr>
      <w:tr w:rsidR="008A7995" w:rsidRPr="00F85D74" w14:paraId="11C550E0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C8CD2EE" w14:textId="34B151A4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 xml:space="preserve">Deutsche Bank AG </w:t>
            </w:r>
          </w:p>
        </w:tc>
        <w:tc>
          <w:tcPr>
            <w:tcW w:w="1984" w:type="dxa"/>
            <w:noWrap/>
          </w:tcPr>
          <w:p w14:paraId="7184E154" w14:textId="68F76FFF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0,00%</w:t>
            </w:r>
          </w:p>
        </w:tc>
      </w:tr>
      <w:tr w:rsidR="008A7995" w:rsidRPr="00F85D74" w14:paraId="6A0A2061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9BC5081" w14:textId="1195D1F4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Morgan Stanley</w:t>
            </w:r>
          </w:p>
        </w:tc>
        <w:tc>
          <w:tcPr>
            <w:tcW w:w="1984" w:type="dxa"/>
            <w:noWrap/>
          </w:tcPr>
          <w:p w14:paraId="2869485F" w14:textId="779086D7" w:rsidR="008A7995" w:rsidRPr="00997ED0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0,00%</w:t>
            </w:r>
          </w:p>
        </w:tc>
      </w:tr>
      <w:tr w:rsidR="008A7995" w:rsidRPr="00F85D74" w14:paraId="5E077240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189081A" w14:textId="3BA43B28" w:rsidR="008A7995" w:rsidRPr="00997ED0" w:rsidRDefault="008A7995" w:rsidP="008A7995">
            <w:pPr>
              <w:rPr>
                <w:sz w:val="20"/>
                <w:szCs w:val="20"/>
              </w:rPr>
            </w:pPr>
            <w:r w:rsidRPr="000254EF">
              <w:t>UBI Banca</w:t>
            </w:r>
          </w:p>
        </w:tc>
        <w:tc>
          <w:tcPr>
            <w:tcW w:w="1984" w:type="dxa"/>
            <w:noWrap/>
          </w:tcPr>
          <w:p w14:paraId="21087F46" w14:textId="7E91D3F2" w:rsidR="008A7995" w:rsidRPr="00997ED0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02FE">
              <w:t>0,00%</w:t>
            </w:r>
          </w:p>
        </w:tc>
      </w:tr>
      <w:tr w:rsidR="00EA435C" w:rsidRPr="00F85D74" w14:paraId="25D20141" w14:textId="77777777" w:rsidTr="00B867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EB6E893" w14:textId="1BB830D1" w:rsidR="00EA435C" w:rsidRPr="00997ED0" w:rsidRDefault="00EA435C" w:rsidP="00EA43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2A053BC0" w14:textId="475238A8" w:rsidR="00EA435C" w:rsidRPr="00997ED0" w:rsidRDefault="00EA435C" w:rsidP="00EA4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435C" w:rsidRPr="00F85D74" w14:paraId="7E12B874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486DF8D" w14:textId="04357F72" w:rsidR="00EA435C" w:rsidRPr="00997ED0" w:rsidRDefault="00EA435C" w:rsidP="00EA43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453ADBE5" w14:textId="385451E9" w:rsidR="00EA435C" w:rsidRPr="00997ED0" w:rsidRDefault="00EA435C" w:rsidP="00EA4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346D" w:rsidRPr="00F85D74" w14:paraId="5D39695E" w14:textId="77777777" w:rsidTr="005D022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F3B394C" w14:textId="77777777" w:rsidR="008A346D" w:rsidRPr="008A346D" w:rsidRDefault="008A346D" w:rsidP="008A34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0E11D588" w14:textId="77777777" w:rsidR="008A346D" w:rsidRPr="008A346D" w:rsidRDefault="008A346D" w:rsidP="008A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D74" w:rsidRPr="00F85D74" w14:paraId="26E2C74E" w14:textId="77777777" w:rsidTr="00AF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7E8C265E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61A8E194" w14:textId="77777777" w:rsidR="00F85D74" w:rsidRPr="00F85D74" w:rsidRDefault="00F85D74" w:rsidP="00F85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F85D74" w:rsidRPr="00F85D74" w14:paraId="08B071EE" w14:textId="77777777" w:rsidTr="00AF18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504BB53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ASSOSIM</w:t>
            </w:r>
          </w:p>
        </w:tc>
        <w:tc>
          <w:tcPr>
            <w:tcW w:w="1984" w:type="dxa"/>
            <w:noWrap/>
          </w:tcPr>
          <w:p w14:paraId="01933DA4" w14:textId="7E34391B" w:rsidR="00F85D74" w:rsidRPr="009A488C" w:rsidRDefault="008A7995" w:rsidP="008A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A7995">
              <w:rPr>
                <w:rFonts w:cs="Arial"/>
                <w:b/>
              </w:rPr>
              <w:t>85,19%</w:t>
            </w:r>
          </w:p>
        </w:tc>
      </w:tr>
    </w:tbl>
    <w:p w14:paraId="740F7786" w14:textId="77777777" w:rsidR="003177C6" w:rsidRDefault="003177C6" w:rsidP="004B4601">
      <w:pPr>
        <w:spacing w:after="0"/>
      </w:pPr>
    </w:p>
    <w:p w14:paraId="106940A3" w14:textId="77777777" w:rsidR="00831B71" w:rsidRDefault="00831B71" w:rsidP="004B4601">
      <w:pPr>
        <w:spacing w:after="0"/>
      </w:pPr>
    </w:p>
    <w:p w14:paraId="30E16D21" w14:textId="309F8232" w:rsidR="00F85D74" w:rsidRDefault="00F85D74" w:rsidP="00F85D74">
      <w:pPr>
        <w:tabs>
          <w:tab w:val="left" w:pos="2340"/>
        </w:tabs>
        <w:jc w:val="both"/>
      </w:pPr>
      <w:r>
        <w:t xml:space="preserve">Nota metodologica: </w:t>
      </w:r>
      <w:r w:rsidRPr="00107988">
        <w:t xml:space="preserve">La classifica </w:t>
      </w:r>
      <w:r>
        <w:t xml:space="preserve">AZIONI </w:t>
      </w:r>
      <w:r w:rsidRPr="00107988">
        <w:t xml:space="preserve">è elaborata aggregando i </w:t>
      </w:r>
      <w:r>
        <w:t xml:space="preserve">controvalori </w:t>
      </w:r>
      <w:r w:rsidRPr="00107988">
        <w:t>scambiati in conto terzi dagli intermediari Associati sul mercato MTA gestito da BORSA ITALIANA</w:t>
      </w:r>
      <w:r>
        <w:t xml:space="preserve"> </w:t>
      </w:r>
      <w:r w:rsidR="00065720">
        <w:t>e</w:t>
      </w:r>
      <w:r>
        <w:t xml:space="preserve"> su</w:t>
      </w:r>
      <w:r w:rsidR="00065720">
        <w:t xml:space="preserve">l </w:t>
      </w:r>
      <w:r w:rsidR="004506CE">
        <w:t>Mercato</w:t>
      </w:r>
      <w:r>
        <w:t xml:space="preserve"> gestit</w:t>
      </w:r>
      <w:r w:rsidR="00065720">
        <w:t>o</w:t>
      </w:r>
      <w:r>
        <w:t xml:space="preserve"> da EQUIDUCT</w:t>
      </w:r>
      <w:r w:rsidRPr="00107988">
        <w:t xml:space="preserve"> con il controvalore internalizzato dagli intermediari italiani su azioni</w:t>
      </w:r>
      <w:r>
        <w:t>. Per i dettagli sull’operatività nei singoli mercati si rimanda agli allegati.</w:t>
      </w:r>
    </w:p>
    <w:p w14:paraId="204FF5C1" w14:textId="77777777" w:rsidR="00380ED4" w:rsidRDefault="00380ED4" w:rsidP="00F85D74">
      <w:pPr>
        <w:tabs>
          <w:tab w:val="left" w:pos="2340"/>
        </w:tabs>
        <w:spacing w:after="0"/>
        <w:jc w:val="center"/>
        <w:rPr>
          <w:color w:val="4F81BD" w:themeColor="accent1"/>
        </w:rPr>
      </w:pPr>
    </w:p>
    <w:p w14:paraId="35E3CEB3" w14:textId="6BCF61FB" w:rsidR="00F85D74" w:rsidRDefault="00F85D74" w:rsidP="00F85D74">
      <w:pPr>
        <w:tabs>
          <w:tab w:val="left" w:pos="2340"/>
        </w:tabs>
        <w:spacing w:after="0"/>
        <w:jc w:val="center"/>
        <w:rPr>
          <w:color w:val="4F81BD" w:themeColor="accent1"/>
        </w:rPr>
      </w:pPr>
      <w:r w:rsidRPr="0025586E">
        <w:rPr>
          <w:color w:val="4F81BD" w:themeColor="accent1"/>
        </w:rPr>
        <w:t>AZIONI: CLASSIFICA PER OPERAZIONI</w:t>
      </w:r>
    </w:p>
    <w:p w14:paraId="7F7D68B6" w14:textId="1207B820" w:rsidR="00F85D74" w:rsidRDefault="00F85D74" w:rsidP="00F85D74">
      <w:pPr>
        <w:tabs>
          <w:tab w:val="left" w:pos="2340"/>
        </w:tabs>
        <w:spacing w:after="0"/>
        <w:jc w:val="center"/>
        <w:rPr>
          <w:color w:val="4F81BD" w:themeColor="accent1"/>
        </w:rPr>
      </w:pPr>
      <w:r w:rsidRPr="0025586E">
        <w:rPr>
          <w:color w:val="4F81BD" w:themeColor="accent1"/>
        </w:rPr>
        <w:t xml:space="preserve">INTERMEDIARI ASSOSIM </w:t>
      </w:r>
      <w:r w:rsidR="005E44F5">
        <w:rPr>
          <w:color w:val="4F81BD" w:themeColor="accent1"/>
        </w:rPr>
        <w:t>1° SEM.</w:t>
      </w:r>
      <w:r w:rsidR="00906243">
        <w:rPr>
          <w:color w:val="4F81BD" w:themeColor="accent1"/>
        </w:rPr>
        <w:t xml:space="preserve"> </w:t>
      </w:r>
      <w:r w:rsidR="00906243" w:rsidRPr="00F85D74">
        <w:rPr>
          <w:color w:val="4F81BD" w:themeColor="accent1"/>
        </w:rPr>
        <w:t>201</w:t>
      </w:r>
      <w:r w:rsidR="005E44F5">
        <w:rPr>
          <w:color w:val="4F81BD" w:themeColor="accent1"/>
        </w:rPr>
        <w:t>8</w:t>
      </w:r>
    </w:p>
    <w:p w14:paraId="09271D75" w14:textId="0D464C5C" w:rsidR="00065720" w:rsidRPr="00065720" w:rsidRDefault="009D588E" w:rsidP="00065720">
      <w:pPr>
        <w:spacing w:after="0"/>
        <w:jc w:val="center"/>
      </w:pPr>
      <w:r w:rsidRPr="009D588E">
        <w:rPr>
          <w:color w:val="4F81BD" w:themeColor="accent1"/>
        </w:rPr>
        <w:t>(OPERATIVITÀ IN CONTO TERZI)</w:t>
      </w:r>
    </w:p>
    <w:tbl>
      <w:tblPr>
        <w:tblStyle w:val="Sfondomedio2-Colore1"/>
        <w:tblpPr w:leftFromText="141" w:rightFromText="141" w:vertAnchor="text" w:tblpY="1"/>
        <w:tblW w:w="4644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</w:tblGrid>
      <w:tr w:rsidR="00F85D74" w:rsidRPr="00F85D74" w14:paraId="3534460D" w14:textId="77777777" w:rsidTr="00AF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noWrap/>
            <w:hideMark/>
          </w:tcPr>
          <w:p w14:paraId="3CA1D76A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SOCIETA'</w:t>
            </w:r>
          </w:p>
        </w:tc>
        <w:tc>
          <w:tcPr>
            <w:tcW w:w="1984" w:type="dxa"/>
            <w:noWrap/>
            <w:hideMark/>
          </w:tcPr>
          <w:p w14:paraId="27D1C30B" w14:textId="77777777" w:rsidR="00F85D74" w:rsidRPr="00F85D74" w:rsidRDefault="00F85D74" w:rsidP="00F85D7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Quota di mercato</w:t>
            </w:r>
          </w:p>
        </w:tc>
      </w:tr>
      <w:tr w:rsidR="008A7995" w:rsidRPr="00F85D74" w14:paraId="7BA5F05B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1703E62" w14:textId="25DB3952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Finecobank</w:t>
            </w:r>
          </w:p>
        </w:tc>
        <w:tc>
          <w:tcPr>
            <w:tcW w:w="1984" w:type="dxa"/>
            <w:noWrap/>
          </w:tcPr>
          <w:p w14:paraId="3A161164" w14:textId="3CCC0C9B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21,58%</w:t>
            </w:r>
          </w:p>
        </w:tc>
      </w:tr>
      <w:tr w:rsidR="008A7995" w:rsidRPr="00F85D74" w14:paraId="5786206A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802DAC1" w14:textId="471DB0A0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IMI</w:t>
            </w:r>
          </w:p>
        </w:tc>
        <w:tc>
          <w:tcPr>
            <w:tcW w:w="1984" w:type="dxa"/>
            <w:noWrap/>
          </w:tcPr>
          <w:p w14:paraId="108EF628" w14:textId="7B0C7C35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13,49%</w:t>
            </w:r>
          </w:p>
        </w:tc>
      </w:tr>
      <w:tr w:rsidR="008A7995" w:rsidRPr="00F85D74" w14:paraId="643BB80B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F967213" w14:textId="0234949C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Akros</w:t>
            </w:r>
          </w:p>
        </w:tc>
        <w:tc>
          <w:tcPr>
            <w:tcW w:w="1984" w:type="dxa"/>
            <w:noWrap/>
          </w:tcPr>
          <w:p w14:paraId="59A32E80" w14:textId="2905FEA8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7,26%</w:t>
            </w:r>
          </w:p>
        </w:tc>
      </w:tr>
      <w:tr w:rsidR="008A7995" w:rsidRPr="00F85D74" w14:paraId="58B69A44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2106C24" w14:textId="4BF9ACBC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 xml:space="preserve">IwBank </w:t>
            </w:r>
          </w:p>
        </w:tc>
        <w:tc>
          <w:tcPr>
            <w:tcW w:w="1984" w:type="dxa"/>
            <w:noWrap/>
          </w:tcPr>
          <w:p w14:paraId="2B117B5E" w14:textId="6607412E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7,12%</w:t>
            </w:r>
          </w:p>
        </w:tc>
      </w:tr>
      <w:tr w:rsidR="008A7995" w:rsidRPr="00F85D74" w14:paraId="54B341EB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704909BA" w14:textId="60D853C1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Equita SIM</w:t>
            </w:r>
          </w:p>
        </w:tc>
        <w:tc>
          <w:tcPr>
            <w:tcW w:w="1984" w:type="dxa"/>
            <w:noWrap/>
          </w:tcPr>
          <w:p w14:paraId="3D071B68" w14:textId="3F5C6CDC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5,81%</w:t>
            </w:r>
          </w:p>
        </w:tc>
      </w:tr>
      <w:tr w:rsidR="008A7995" w:rsidRPr="00F85D74" w14:paraId="28C475B4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7BF4A5BD" w14:textId="59D2F1C4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Directa SIM</w:t>
            </w:r>
          </w:p>
        </w:tc>
        <w:tc>
          <w:tcPr>
            <w:tcW w:w="1984" w:type="dxa"/>
            <w:noWrap/>
          </w:tcPr>
          <w:p w14:paraId="73874DE6" w14:textId="57C90405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5,41%</w:t>
            </w:r>
          </w:p>
        </w:tc>
      </w:tr>
      <w:tr w:rsidR="008A7995" w:rsidRPr="00F85D74" w14:paraId="69F416A9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3E44BB1" w14:textId="52ABE009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Unicredit Bank AG</w:t>
            </w:r>
          </w:p>
        </w:tc>
        <w:tc>
          <w:tcPr>
            <w:tcW w:w="1984" w:type="dxa"/>
            <w:noWrap/>
          </w:tcPr>
          <w:p w14:paraId="38387BD9" w14:textId="55AC1453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5,05%</w:t>
            </w:r>
          </w:p>
        </w:tc>
      </w:tr>
      <w:tr w:rsidR="008A7995" w:rsidRPr="00F85D74" w14:paraId="7329784A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41641A3" w14:textId="768EDCD1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Aletti</w:t>
            </w:r>
          </w:p>
        </w:tc>
        <w:tc>
          <w:tcPr>
            <w:tcW w:w="1984" w:type="dxa"/>
            <w:noWrap/>
          </w:tcPr>
          <w:p w14:paraId="74E0E7CC" w14:textId="45948C31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4,55%</w:t>
            </w:r>
          </w:p>
        </w:tc>
      </w:tr>
      <w:tr w:rsidR="008A7995" w:rsidRPr="00F85D74" w14:paraId="2BDD1073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8F8A067" w14:textId="40786F1D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Intermonte SIM</w:t>
            </w:r>
          </w:p>
        </w:tc>
        <w:tc>
          <w:tcPr>
            <w:tcW w:w="1984" w:type="dxa"/>
            <w:noWrap/>
          </w:tcPr>
          <w:p w14:paraId="152E4A17" w14:textId="6ED31E0C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3,57%</w:t>
            </w:r>
          </w:p>
        </w:tc>
      </w:tr>
      <w:tr w:rsidR="008A7995" w:rsidRPr="00F85D74" w14:paraId="4B73D214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ACCD92D" w14:textId="55E135B6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Sella Holding</w:t>
            </w:r>
          </w:p>
        </w:tc>
        <w:tc>
          <w:tcPr>
            <w:tcW w:w="1984" w:type="dxa"/>
            <w:noWrap/>
          </w:tcPr>
          <w:p w14:paraId="7FB48589" w14:textId="3434A1EE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3,49%</w:t>
            </w:r>
          </w:p>
        </w:tc>
      </w:tr>
      <w:tr w:rsidR="008A7995" w:rsidRPr="00F85D74" w14:paraId="110797B4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54F261A" w14:textId="2CB6AD21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Nexi</w:t>
            </w:r>
          </w:p>
        </w:tc>
        <w:tc>
          <w:tcPr>
            <w:tcW w:w="1984" w:type="dxa"/>
            <w:noWrap/>
          </w:tcPr>
          <w:p w14:paraId="38758F4F" w14:textId="6234ECC5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3,21%</w:t>
            </w:r>
          </w:p>
        </w:tc>
      </w:tr>
      <w:tr w:rsidR="008A7995" w:rsidRPr="00F85D74" w14:paraId="5CBBBD55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B538B3C" w14:textId="218A4394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MPS Capital Services</w:t>
            </w:r>
          </w:p>
        </w:tc>
        <w:tc>
          <w:tcPr>
            <w:tcW w:w="1984" w:type="dxa"/>
            <w:noWrap/>
          </w:tcPr>
          <w:p w14:paraId="7F117B7F" w14:textId="236C1C15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2,02%</w:t>
            </w:r>
          </w:p>
        </w:tc>
      </w:tr>
      <w:tr w:rsidR="008A7995" w:rsidRPr="00F85D74" w14:paraId="73E84269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95B4C02" w14:textId="0AA62EC4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Credem</w:t>
            </w:r>
          </w:p>
        </w:tc>
        <w:tc>
          <w:tcPr>
            <w:tcW w:w="1984" w:type="dxa"/>
            <w:noWrap/>
          </w:tcPr>
          <w:p w14:paraId="2E7FB24F" w14:textId="057E154B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1,10%</w:t>
            </w:r>
          </w:p>
        </w:tc>
      </w:tr>
      <w:tr w:rsidR="008A7995" w:rsidRPr="00F85D74" w14:paraId="1233EF02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0489B73" w14:textId="1948ED54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Invest Banca</w:t>
            </w:r>
          </w:p>
        </w:tc>
        <w:tc>
          <w:tcPr>
            <w:tcW w:w="1984" w:type="dxa"/>
            <w:noWrap/>
          </w:tcPr>
          <w:p w14:paraId="6C80546E" w14:textId="5103928C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0,77%</w:t>
            </w:r>
          </w:p>
        </w:tc>
      </w:tr>
      <w:tr w:rsidR="008A7995" w:rsidRPr="00F85D74" w14:paraId="553921EB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D64DAB1" w14:textId="3CEB8879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Iccrea Banca</w:t>
            </w:r>
          </w:p>
        </w:tc>
        <w:tc>
          <w:tcPr>
            <w:tcW w:w="1984" w:type="dxa"/>
            <w:noWrap/>
          </w:tcPr>
          <w:p w14:paraId="5126B6A1" w14:textId="1119D676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0,70%</w:t>
            </w:r>
          </w:p>
        </w:tc>
      </w:tr>
      <w:tr w:rsidR="008A7995" w:rsidRPr="00F85D74" w14:paraId="3EB06F32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BD70FA3" w14:textId="405D4B43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Generali</w:t>
            </w:r>
          </w:p>
        </w:tc>
        <w:tc>
          <w:tcPr>
            <w:tcW w:w="1984" w:type="dxa"/>
            <w:noWrap/>
          </w:tcPr>
          <w:p w14:paraId="547F9CD5" w14:textId="274518ED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0,69%</w:t>
            </w:r>
          </w:p>
        </w:tc>
      </w:tr>
      <w:tr w:rsidR="008A7995" w:rsidRPr="00F85D74" w14:paraId="002EBC39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1A6A683" w14:textId="376B26EB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Mediobanca</w:t>
            </w:r>
          </w:p>
        </w:tc>
        <w:tc>
          <w:tcPr>
            <w:tcW w:w="1984" w:type="dxa"/>
            <w:noWrap/>
          </w:tcPr>
          <w:p w14:paraId="414E9ECB" w14:textId="20DA0E72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0,58%</w:t>
            </w:r>
          </w:p>
        </w:tc>
      </w:tr>
      <w:tr w:rsidR="008A7995" w:rsidRPr="00F85D74" w14:paraId="1DF360EF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BF78E75" w14:textId="140C85A4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Intermobiliare</w:t>
            </w:r>
          </w:p>
        </w:tc>
        <w:tc>
          <w:tcPr>
            <w:tcW w:w="1984" w:type="dxa"/>
            <w:noWrap/>
          </w:tcPr>
          <w:p w14:paraId="0320D761" w14:textId="6868F6CA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0,37%</w:t>
            </w:r>
          </w:p>
        </w:tc>
      </w:tr>
      <w:tr w:rsidR="008A7995" w:rsidRPr="00F85D74" w14:paraId="0166EB6A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CDA6940" w14:textId="37685FEA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Banca Finnat Euramerica</w:t>
            </w:r>
          </w:p>
        </w:tc>
        <w:tc>
          <w:tcPr>
            <w:tcW w:w="1984" w:type="dxa"/>
            <w:noWrap/>
          </w:tcPr>
          <w:p w14:paraId="02047E1E" w14:textId="1DD0993F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0,17%</w:t>
            </w:r>
          </w:p>
        </w:tc>
      </w:tr>
      <w:tr w:rsidR="008A7995" w:rsidRPr="00F85D74" w14:paraId="4F3B2139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646202EC" w14:textId="063F0857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Merrill Lynch</w:t>
            </w:r>
          </w:p>
        </w:tc>
        <w:tc>
          <w:tcPr>
            <w:tcW w:w="1984" w:type="dxa"/>
            <w:noWrap/>
          </w:tcPr>
          <w:p w14:paraId="1F16F82A" w14:textId="6693D502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0,09%</w:t>
            </w:r>
          </w:p>
        </w:tc>
      </w:tr>
      <w:tr w:rsidR="008A7995" w:rsidRPr="00F85D74" w14:paraId="66C769A8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A7669DD" w14:textId="2BA3C1E9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Finsud SIM</w:t>
            </w:r>
          </w:p>
        </w:tc>
        <w:tc>
          <w:tcPr>
            <w:tcW w:w="1984" w:type="dxa"/>
            <w:noWrap/>
          </w:tcPr>
          <w:p w14:paraId="1BC81B2E" w14:textId="505FA6BC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0,06%</w:t>
            </w:r>
          </w:p>
        </w:tc>
      </w:tr>
      <w:tr w:rsidR="008A7995" w:rsidRPr="00F85D74" w14:paraId="5A16163A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B2D49D8" w14:textId="365CD4DD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UBS Ltd</w:t>
            </w:r>
          </w:p>
        </w:tc>
        <w:tc>
          <w:tcPr>
            <w:tcW w:w="1984" w:type="dxa"/>
            <w:noWrap/>
          </w:tcPr>
          <w:p w14:paraId="6376A7F4" w14:textId="008C618D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0,02%</w:t>
            </w:r>
          </w:p>
        </w:tc>
      </w:tr>
      <w:tr w:rsidR="008A7995" w:rsidRPr="00F85D74" w14:paraId="72BFE107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1C5FA011" w14:textId="2FE175F9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Societe Generale</w:t>
            </w:r>
          </w:p>
        </w:tc>
        <w:tc>
          <w:tcPr>
            <w:tcW w:w="1984" w:type="dxa"/>
            <w:noWrap/>
          </w:tcPr>
          <w:p w14:paraId="1B8C5C5B" w14:textId="24871D3D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0,01%</w:t>
            </w:r>
          </w:p>
        </w:tc>
      </w:tr>
      <w:tr w:rsidR="008A7995" w:rsidRPr="00F85D74" w14:paraId="652872AC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628BECE" w14:textId="422A745B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Citigroup</w:t>
            </w:r>
          </w:p>
        </w:tc>
        <w:tc>
          <w:tcPr>
            <w:tcW w:w="1984" w:type="dxa"/>
            <w:noWrap/>
          </w:tcPr>
          <w:p w14:paraId="242CC904" w14:textId="6E797DC8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0,00%</w:t>
            </w:r>
          </w:p>
        </w:tc>
      </w:tr>
      <w:tr w:rsidR="008A7995" w:rsidRPr="00F85D74" w14:paraId="2067ADDC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BC4109E" w14:textId="3713018A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 xml:space="preserve">Deutsche Bank AG </w:t>
            </w:r>
          </w:p>
        </w:tc>
        <w:tc>
          <w:tcPr>
            <w:tcW w:w="1984" w:type="dxa"/>
            <w:noWrap/>
          </w:tcPr>
          <w:p w14:paraId="0BBE58F7" w14:textId="45DB5815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0,00%</w:t>
            </w:r>
          </w:p>
        </w:tc>
      </w:tr>
      <w:tr w:rsidR="008A7995" w:rsidRPr="00F85D74" w14:paraId="22666BFD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4859841" w14:textId="7626E9B6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Morgan Stanley</w:t>
            </w:r>
          </w:p>
        </w:tc>
        <w:tc>
          <w:tcPr>
            <w:tcW w:w="1984" w:type="dxa"/>
            <w:noWrap/>
          </w:tcPr>
          <w:p w14:paraId="542ECC74" w14:textId="0ACEE796" w:rsidR="008A7995" w:rsidRPr="00A835D7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0,00%</w:t>
            </w:r>
          </w:p>
        </w:tc>
      </w:tr>
      <w:tr w:rsidR="008A7995" w:rsidRPr="00F85D74" w14:paraId="2F61B1A4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4E498753" w14:textId="46D90FBF" w:rsidR="008A7995" w:rsidRPr="00A835D7" w:rsidRDefault="008A7995" w:rsidP="008A7995">
            <w:pPr>
              <w:rPr>
                <w:sz w:val="20"/>
                <w:szCs w:val="20"/>
              </w:rPr>
            </w:pPr>
            <w:r w:rsidRPr="003351C9">
              <w:t>UBI Banca</w:t>
            </w:r>
          </w:p>
        </w:tc>
        <w:tc>
          <w:tcPr>
            <w:tcW w:w="1984" w:type="dxa"/>
            <w:noWrap/>
          </w:tcPr>
          <w:p w14:paraId="75D960C1" w14:textId="3E9723AF" w:rsidR="008A7995" w:rsidRPr="00A835D7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D3C">
              <w:t>0,00%</w:t>
            </w:r>
          </w:p>
        </w:tc>
      </w:tr>
      <w:tr w:rsidR="0038079E" w:rsidRPr="00F85D74" w14:paraId="359F62E4" w14:textId="77777777" w:rsidTr="00453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51E8BF36" w14:textId="620F2BAA" w:rsidR="0038079E" w:rsidRPr="00A835D7" w:rsidRDefault="0038079E" w:rsidP="003807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68FC6444" w14:textId="432F0E4D" w:rsidR="0038079E" w:rsidRPr="00A835D7" w:rsidRDefault="0038079E" w:rsidP="0038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079E" w:rsidRPr="00F85D74" w14:paraId="1401D814" w14:textId="77777777" w:rsidTr="0045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3EA184AB" w14:textId="7B0B03FA" w:rsidR="0038079E" w:rsidRPr="00A835D7" w:rsidRDefault="0038079E" w:rsidP="003807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556B64AB" w14:textId="7F447BFB" w:rsidR="0038079E" w:rsidRPr="00A835D7" w:rsidRDefault="0038079E" w:rsidP="0038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346D" w:rsidRPr="00F85D74" w14:paraId="2A1EBCC8" w14:textId="77777777" w:rsidTr="00C31E4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25CB3695" w14:textId="77777777" w:rsidR="008A346D" w:rsidRPr="008A346D" w:rsidRDefault="008A346D" w:rsidP="008A34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7FF9B842" w14:textId="77777777" w:rsidR="008A346D" w:rsidRPr="008A346D" w:rsidRDefault="008A346D" w:rsidP="008A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D74" w:rsidRPr="00F85D74" w14:paraId="765DC429" w14:textId="77777777" w:rsidTr="00AF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783D016C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576C71FC" w14:textId="77777777" w:rsidR="00F85D74" w:rsidRPr="00F85D74" w:rsidRDefault="00F85D74" w:rsidP="00F85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F85D74" w:rsidRPr="00F85D74" w14:paraId="55496D07" w14:textId="77777777" w:rsidTr="00AF18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</w:tcPr>
          <w:p w14:paraId="063B3D27" w14:textId="77777777" w:rsidR="00F85D74" w:rsidRPr="00F85D74" w:rsidRDefault="00F85D74" w:rsidP="00F85D74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F85D74">
              <w:rPr>
                <w:sz w:val="20"/>
                <w:szCs w:val="20"/>
              </w:rPr>
              <w:t>ASSOSIM</w:t>
            </w:r>
          </w:p>
        </w:tc>
        <w:tc>
          <w:tcPr>
            <w:tcW w:w="1984" w:type="dxa"/>
            <w:noWrap/>
          </w:tcPr>
          <w:p w14:paraId="29A5B625" w14:textId="0127FDC2" w:rsidR="00F85D74" w:rsidRPr="009A488C" w:rsidRDefault="008A7995" w:rsidP="008A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A7995">
              <w:rPr>
                <w:rFonts w:cs="Arial"/>
                <w:b/>
              </w:rPr>
              <w:t>87,14%</w:t>
            </w:r>
          </w:p>
        </w:tc>
      </w:tr>
    </w:tbl>
    <w:p w14:paraId="7CE8793C" w14:textId="77777777" w:rsidR="00C753CF" w:rsidRDefault="00C753CF" w:rsidP="00C753CF">
      <w:pPr>
        <w:spacing w:after="0"/>
      </w:pPr>
    </w:p>
    <w:p w14:paraId="7D7FEEE0" w14:textId="77777777" w:rsidR="00831B71" w:rsidRDefault="00831B71" w:rsidP="00C753CF">
      <w:pPr>
        <w:spacing w:after="0"/>
      </w:pPr>
    </w:p>
    <w:p w14:paraId="2FFBFFC9" w14:textId="3B514B5C" w:rsidR="00065720" w:rsidRDefault="00065720" w:rsidP="004506CE">
      <w:pPr>
        <w:spacing w:after="0"/>
        <w:jc w:val="both"/>
      </w:pPr>
      <w:r w:rsidRPr="00065720">
        <w:t>Nota metodologica: La classifica AZIONI è elaborata aggregando le operazioni eseguite in conto terzi dagli intermediari Associati sul mercato MTA gestito da BORSA ITALIANA</w:t>
      </w:r>
      <w:r w:rsidR="00612D3E">
        <w:t xml:space="preserve"> e</w:t>
      </w:r>
      <w:r w:rsidRPr="00065720">
        <w:t xml:space="preserve"> su</w:t>
      </w:r>
      <w:r>
        <w:t>l</w:t>
      </w:r>
      <w:r w:rsidRPr="00065720">
        <w:t xml:space="preserve"> </w:t>
      </w:r>
      <w:r w:rsidR="004506CE">
        <w:t>Mercato</w:t>
      </w:r>
      <w:r w:rsidRPr="00065720">
        <w:t xml:space="preserve"> gestit</w:t>
      </w:r>
      <w:r>
        <w:t>o</w:t>
      </w:r>
      <w:r w:rsidRPr="00065720">
        <w:t xml:space="preserve"> da EQUIDUCT con le operazioni internalizzate dagli intermediari italiani su azioni. Per i dettagli sull’operatività nei singoli mercati si rimanda agli allegati.</w:t>
      </w:r>
    </w:p>
    <w:p w14:paraId="719097F6" w14:textId="77777777" w:rsidR="00065720" w:rsidRPr="00065720" w:rsidRDefault="00065720" w:rsidP="00065720">
      <w:pPr>
        <w:tabs>
          <w:tab w:val="left" w:pos="2340"/>
        </w:tabs>
        <w:jc w:val="both"/>
      </w:pPr>
    </w:p>
    <w:p w14:paraId="53229F51" w14:textId="77777777" w:rsidR="00C07DDA" w:rsidRDefault="00C07DDA">
      <w:pPr>
        <w:sectPr w:rsidR="00C07DDA" w:rsidSect="00EE20F8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14:paraId="11508361" w14:textId="77777777" w:rsidR="00612D3E" w:rsidRDefault="00612D3E" w:rsidP="00065720">
      <w:pPr>
        <w:spacing w:after="0"/>
        <w:jc w:val="center"/>
        <w:rPr>
          <w:color w:val="4F81BD" w:themeColor="accent1"/>
        </w:rPr>
      </w:pPr>
    </w:p>
    <w:p w14:paraId="229D9C19" w14:textId="3E1A4832" w:rsidR="00065720" w:rsidRPr="00065720" w:rsidRDefault="00065720" w:rsidP="00065720">
      <w:pPr>
        <w:spacing w:after="0"/>
        <w:jc w:val="center"/>
        <w:rPr>
          <w:color w:val="4F81BD" w:themeColor="accent1"/>
        </w:rPr>
      </w:pPr>
      <w:r w:rsidRPr="00065720">
        <w:rPr>
          <w:color w:val="4F81BD" w:themeColor="accent1"/>
        </w:rPr>
        <w:lastRenderedPageBreak/>
        <w:t xml:space="preserve">BONDS: CLASSIFICA PER CONTROVALORI </w:t>
      </w:r>
    </w:p>
    <w:p w14:paraId="137A260E" w14:textId="74E0ECA4" w:rsidR="00065720" w:rsidRDefault="00065720" w:rsidP="00065720">
      <w:pPr>
        <w:spacing w:after="0"/>
        <w:jc w:val="center"/>
        <w:rPr>
          <w:color w:val="4F81BD" w:themeColor="accent1"/>
        </w:rPr>
      </w:pPr>
      <w:r w:rsidRPr="00065720">
        <w:rPr>
          <w:color w:val="4F81BD" w:themeColor="accent1"/>
        </w:rPr>
        <w:t xml:space="preserve">INTERMEDIARI ASSOSIM </w:t>
      </w:r>
      <w:r w:rsidR="005E44F5">
        <w:rPr>
          <w:color w:val="4F81BD" w:themeColor="accent1"/>
        </w:rPr>
        <w:t xml:space="preserve">1° SEM. </w:t>
      </w:r>
      <w:r w:rsidR="005E44F5" w:rsidRPr="00F85D74">
        <w:rPr>
          <w:color w:val="4F81BD" w:themeColor="accent1"/>
        </w:rPr>
        <w:t>201</w:t>
      </w:r>
      <w:r w:rsidR="005E44F5">
        <w:rPr>
          <w:color w:val="4F81BD" w:themeColor="accent1"/>
        </w:rPr>
        <w:t>8</w:t>
      </w:r>
    </w:p>
    <w:p w14:paraId="501298B0" w14:textId="46793E41" w:rsidR="00065720" w:rsidRPr="00065720" w:rsidRDefault="009D588E" w:rsidP="00065720">
      <w:pPr>
        <w:spacing w:after="0"/>
        <w:jc w:val="center"/>
      </w:pPr>
      <w:r w:rsidRPr="009D588E">
        <w:rPr>
          <w:color w:val="4F81BD" w:themeColor="accent1"/>
        </w:rPr>
        <w:t>(OPERATIVITÀ IN CONTO TERZI)</w:t>
      </w:r>
    </w:p>
    <w:tbl>
      <w:tblPr>
        <w:tblStyle w:val="Sfondomedio2-Colore1"/>
        <w:tblW w:w="9854" w:type="dxa"/>
        <w:tblLayout w:type="fixed"/>
        <w:tblLook w:val="04A0" w:firstRow="1" w:lastRow="0" w:firstColumn="1" w:lastColumn="0" w:noHBand="0" w:noVBand="1"/>
      </w:tblPr>
      <w:tblGrid>
        <w:gridCol w:w="2630"/>
        <w:gridCol w:w="919"/>
        <w:gridCol w:w="1480"/>
        <w:gridCol w:w="1092"/>
        <w:gridCol w:w="1134"/>
        <w:gridCol w:w="894"/>
        <w:gridCol w:w="892"/>
        <w:gridCol w:w="813"/>
      </w:tblGrid>
      <w:tr w:rsidR="00065720" w:rsidRPr="00065720" w14:paraId="75FEA54E" w14:textId="77777777" w:rsidTr="00AF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0" w:type="dxa"/>
            <w:noWrap/>
            <w:hideMark/>
          </w:tcPr>
          <w:p w14:paraId="74787B37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SOCIETA'</w:t>
            </w:r>
          </w:p>
        </w:tc>
        <w:tc>
          <w:tcPr>
            <w:tcW w:w="919" w:type="dxa"/>
            <w:noWrap/>
            <w:hideMark/>
          </w:tcPr>
          <w:p w14:paraId="4D1BE0AB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Bonds</w:t>
            </w:r>
          </w:p>
        </w:tc>
        <w:tc>
          <w:tcPr>
            <w:tcW w:w="1480" w:type="dxa"/>
            <w:noWrap/>
            <w:hideMark/>
          </w:tcPr>
          <w:p w14:paraId="4186EB58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DomesticMOT</w:t>
            </w:r>
          </w:p>
        </w:tc>
        <w:tc>
          <w:tcPr>
            <w:tcW w:w="1092" w:type="dxa"/>
            <w:noWrap/>
            <w:hideMark/>
          </w:tcPr>
          <w:p w14:paraId="6FFF6608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EuroMOT</w:t>
            </w:r>
          </w:p>
        </w:tc>
        <w:tc>
          <w:tcPr>
            <w:tcW w:w="1134" w:type="dxa"/>
            <w:noWrap/>
            <w:hideMark/>
          </w:tcPr>
          <w:p w14:paraId="33FA43A8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ExtraMOT</w:t>
            </w:r>
          </w:p>
        </w:tc>
        <w:tc>
          <w:tcPr>
            <w:tcW w:w="894" w:type="dxa"/>
            <w:noWrap/>
            <w:hideMark/>
          </w:tcPr>
          <w:p w14:paraId="23025C86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Eurotlx</w:t>
            </w:r>
          </w:p>
        </w:tc>
        <w:tc>
          <w:tcPr>
            <w:tcW w:w="892" w:type="dxa"/>
            <w:noWrap/>
            <w:hideMark/>
          </w:tcPr>
          <w:p w14:paraId="2CA44803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Hi MTF</w:t>
            </w:r>
          </w:p>
        </w:tc>
        <w:tc>
          <w:tcPr>
            <w:tcW w:w="813" w:type="dxa"/>
            <w:noWrap/>
            <w:hideMark/>
          </w:tcPr>
          <w:p w14:paraId="356B71EF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IS</w:t>
            </w:r>
          </w:p>
        </w:tc>
      </w:tr>
      <w:tr w:rsidR="008A7995" w:rsidRPr="00065720" w14:paraId="000DEF23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518861D" w14:textId="324DD9D2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IMI</w:t>
            </w:r>
          </w:p>
        </w:tc>
        <w:tc>
          <w:tcPr>
            <w:tcW w:w="919" w:type="dxa"/>
            <w:noWrap/>
          </w:tcPr>
          <w:p w14:paraId="58DDEC36" w14:textId="3E79A2D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21,29%</w:t>
            </w:r>
          </w:p>
        </w:tc>
        <w:tc>
          <w:tcPr>
            <w:tcW w:w="1480" w:type="dxa"/>
            <w:noWrap/>
          </w:tcPr>
          <w:p w14:paraId="54BBC01D" w14:textId="5B68525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12,69%</w:t>
            </w:r>
          </w:p>
        </w:tc>
        <w:tc>
          <w:tcPr>
            <w:tcW w:w="1092" w:type="dxa"/>
            <w:noWrap/>
          </w:tcPr>
          <w:p w14:paraId="41C5F2F9" w14:textId="4C2BBDB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1,48%</w:t>
            </w:r>
          </w:p>
        </w:tc>
        <w:tc>
          <w:tcPr>
            <w:tcW w:w="1134" w:type="dxa"/>
            <w:noWrap/>
          </w:tcPr>
          <w:p w14:paraId="62071D83" w14:textId="4519840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0,15%</w:t>
            </w:r>
          </w:p>
        </w:tc>
        <w:tc>
          <w:tcPr>
            <w:tcW w:w="894" w:type="dxa"/>
            <w:noWrap/>
          </w:tcPr>
          <w:p w14:paraId="46040960" w14:textId="7EEAA7A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6,57%</w:t>
            </w:r>
          </w:p>
        </w:tc>
        <w:tc>
          <w:tcPr>
            <w:tcW w:w="892" w:type="dxa"/>
            <w:noWrap/>
          </w:tcPr>
          <w:p w14:paraId="23E87919" w14:textId="0B2EAAD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0,40%</w:t>
            </w:r>
          </w:p>
        </w:tc>
        <w:tc>
          <w:tcPr>
            <w:tcW w:w="813" w:type="dxa"/>
            <w:noWrap/>
          </w:tcPr>
          <w:p w14:paraId="287A8A07" w14:textId="3AF0159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E110C6D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19BB4DC" w14:textId="6FAA1811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Akros</w:t>
            </w:r>
          </w:p>
        </w:tc>
        <w:tc>
          <w:tcPr>
            <w:tcW w:w="919" w:type="dxa"/>
            <w:noWrap/>
          </w:tcPr>
          <w:p w14:paraId="3D7616AB" w14:textId="185C55EB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16,44%</w:t>
            </w:r>
          </w:p>
        </w:tc>
        <w:tc>
          <w:tcPr>
            <w:tcW w:w="1480" w:type="dxa"/>
            <w:noWrap/>
          </w:tcPr>
          <w:p w14:paraId="76506ED1" w14:textId="2958D61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9,03%</w:t>
            </w:r>
          </w:p>
        </w:tc>
        <w:tc>
          <w:tcPr>
            <w:tcW w:w="1092" w:type="dxa"/>
            <w:noWrap/>
          </w:tcPr>
          <w:p w14:paraId="06B839D2" w14:textId="501AE3C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1,57%</w:t>
            </w:r>
          </w:p>
        </w:tc>
        <w:tc>
          <w:tcPr>
            <w:tcW w:w="1134" w:type="dxa"/>
            <w:noWrap/>
          </w:tcPr>
          <w:p w14:paraId="648EE45C" w14:textId="32A17A4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0,24%</w:t>
            </w:r>
          </w:p>
        </w:tc>
        <w:tc>
          <w:tcPr>
            <w:tcW w:w="894" w:type="dxa"/>
            <w:noWrap/>
          </w:tcPr>
          <w:p w14:paraId="58DB8AAB" w14:textId="77DCAA9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4,83%</w:t>
            </w:r>
          </w:p>
        </w:tc>
        <w:tc>
          <w:tcPr>
            <w:tcW w:w="892" w:type="dxa"/>
            <w:noWrap/>
          </w:tcPr>
          <w:p w14:paraId="79639583" w14:textId="678A4B6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0,74%</w:t>
            </w:r>
          </w:p>
        </w:tc>
        <w:tc>
          <w:tcPr>
            <w:tcW w:w="813" w:type="dxa"/>
            <w:noWrap/>
          </w:tcPr>
          <w:p w14:paraId="7C6BC928" w14:textId="3F7BD71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0,03%</w:t>
            </w:r>
          </w:p>
        </w:tc>
      </w:tr>
      <w:tr w:rsidR="008A7995" w:rsidRPr="00065720" w14:paraId="141C6357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7F16860A" w14:textId="6B6A28A7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Invest Banca</w:t>
            </w:r>
          </w:p>
        </w:tc>
        <w:tc>
          <w:tcPr>
            <w:tcW w:w="919" w:type="dxa"/>
            <w:noWrap/>
          </w:tcPr>
          <w:p w14:paraId="1E2122AC" w14:textId="0CF7159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10,23%</w:t>
            </w:r>
          </w:p>
        </w:tc>
        <w:tc>
          <w:tcPr>
            <w:tcW w:w="1480" w:type="dxa"/>
            <w:noWrap/>
          </w:tcPr>
          <w:p w14:paraId="783BEFD5" w14:textId="7E0467A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9,97%</w:t>
            </w:r>
          </w:p>
        </w:tc>
        <w:tc>
          <w:tcPr>
            <w:tcW w:w="1092" w:type="dxa"/>
            <w:noWrap/>
          </w:tcPr>
          <w:p w14:paraId="2E6CA5EE" w14:textId="0A0A0A3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0,05%</w:t>
            </w:r>
          </w:p>
        </w:tc>
        <w:tc>
          <w:tcPr>
            <w:tcW w:w="1134" w:type="dxa"/>
            <w:noWrap/>
          </w:tcPr>
          <w:p w14:paraId="19267680" w14:textId="3E3622C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739CDA93" w14:textId="54A3CFE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637A1D94" w14:textId="3DE083A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0,20%</w:t>
            </w:r>
          </w:p>
        </w:tc>
        <w:tc>
          <w:tcPr>
            <w:tcW w:w="813" w:type="dxa"/>
            <w:noWrap/>
          </w:tcPr>
          <w:p w14:paraId="5ECDB16C" w14:textId="6928992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</w:tr>
      <w:tr w:rsidR="008A7995" w:rsidRPr="00065720" w14:paraId="1A19041A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01BB1B0" w14:textId="62A67ED5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Iccrea Banca</w:t>
            </w:r>
          </w:p>
        </w:tc>
        <w:tc>
          <w:tcPr>
            <w:tcW w:w="919" w:type="dxa"/>
            <w:noWrap/>
          </w:tcPr>
          <w:p w14:paraId="617C5F70" w14:textId="558953E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7,92%</w:t>
            </w:r>
          </w:p>
        </w:tc>
        <w:tc>
          <w:tcPr>
            <w:tcW w:w="1480" w:type="dxa"/>
            <w:noWrap/>
          </w:tcPr>
          <w:p w14:paraId="7B6635DC" w14:textId="1065794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6,68%</w:t>
            </w:r>
          </w:p>
        </w:tc>
        <w:tc>
          <w:tcPr>
            <w:tcW w:w="1092" w:type="dxa"/>
            <w:noWrap/>
          </w:tcPr>
          <w:p w14:paraId="1B2D2186" w14:textId="1FE9510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0,21%</w:t>
            </w:r>
          </w:p>
        </w:tc>
        <w:tc>
          <w:tcPr>
            <w:tcW w:w="1134" w:type="dxa"/>
            <w:noWrap/>
          </w:tcPr>
          <w:p w14:paraId="2D6BDB09" w14:textId="54D6965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0,02%</w:t>
            </w:r>
          </w:p>
        </w:tc>
        <w:tc>
          <w:tcPr>
            <w:tcW w:w="894" w:type="dxa"/>
            <w:noWrap/>
          </w:tcPr>
          <w:p w14:paraId="1DBEBB71" w14:textId="475374A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0,42%</w:t>
            </w:r>
          </w:p>
        </w:tc>
        <w:tc>
          <w:tcPr>
            <w:tcW w:w="892" w:type="dxa"/>
            <w:noWrap/>
          </w:tcPr>
          <w:p w14:paraId="3929A95B" w14:textId="67AF291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0,60%</w:t>
            </w:r>
          </w:p>
        </w:tc>
        <w:tc>
          <w:tcPr>
            <w:tcW w:w="813" w:type="dxa"/>
            <w:noWrap/>
          </w:tcPr>
          <w:p w14:paraId="0E52D098" w14:textId="3123869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77779EE7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CBF2BB7" w14:textId="285CAE70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Unicredit Bank AG</w:t>
            </w:r>
          </w:p>
        </w:tc>
        <w:tc>
          <w:tcPr>
            <w:tcW w:w="919" w:type="dxa"/>
            <w:noWrap/>
          </w:tcPr>
          <w:p w14:paraId="5CFCF640" w14:textId="45C781C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7,79%</w:t>
            </w:r>
          </w:p>
        </w:tc>
        <w:tc>
          <w:tcPr>
            <w:tcW w:w="1480" w:type="dxa"/>
            <w:noWrap/>
          </w:tcPr>
          <w:p w14:paraId="6F7FEF3B" w14:textId="11CAEB9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3,85%</w:t>
            </w:r>
          </w:p>
        </w:tc>
        <w:tc>
          <w:tcPr>
            <w:tcW w:w="1092" w:type="dxa"/>
            <w:noWrap/>
          </w:tcPr>
          <w:p w14:paraId="1A099F8D" w14:textId="30BCC51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0,36%</w:t>
            </w:r>
          </w:p>
        </w:tc>
        <w:tc>
          <w:tcPr>
            <w:tcW w:w="1134" w:type="dxa"/>
            <w:noWrap/>
          </w:tcPr>
          <w:p w14:paraId="7E3A9419" w14:textId="54E1D6E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0,05%</w:t>
            </w:r>
          </w:p>
        </w:tc>
        <w:tc>
          <w:tcPr>
            <w:tcW w:w="894" w:type="dxa"/>
            <w:noWrap/>
          </w:tcPr>
          <w:p w14:paraId="285085E9" w14:textId="76FE23B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3,53%</w:t>
            </w:r>
          </w:p>
        </w:tc>
        <w:tc>
          <w:tcPr>
            <w:tcW w:w="892" w:type="dxa"/>
            <w:noWrap/>
          </w:tcPr>
          <w:p w14:paraId="342DF4D1" w14:textId="2B6B633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6215C01A" w14:textId="187A914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340E3F2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317EE9E" w14:textId="069CB83C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Finecobank</w:t>
            </w:r>
          </w:p>
        </w:tc>
        <w:tc>
          <w:tcPr>
            <w:tcW w:w="919" w:type="dxa"/>
            <w:noWrap/>
          </w:tcPr>
          <w:p w14:paraId="0829F00E" w14:textId="0EAC645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6,28%</w:t>
            </w:r>
          </w:p>
        </w:tc>
        <w:tc>
          <w:tcPr>
            <w:tcW w:w="1480" w:type="dxa"/>
            <w:noWrap/>
          </w:tcPr>
          <w:p w14:paraId="4BEAF598" w14:textId="06914CA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4,45%</w:t>
            </w:r>
          </w:p>
        </w:tc>
        <w:tc>
          <w:tcPr>
            <w:tcW w:w="1092" w:type="dxa"/>
            <w:noWrap/>
          </w:tcPr>
          <w:p w14:paraId="0FDC9E04" w14:textId="0F35376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0,37%</w:t>
            </w:r>
          </w:p>
        </w:tc>
        <w:tc>
          <w:tcPr>
            <w:tcW w:w="1134" w:type="dxa"/>
            <w:noWrap/>
          </w:tcPr>
          <w:p w14:paraId="1DA6B21B" w14:textId="079AEA0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0,13%</w:t>
            </w:r>
          </w:p>
        </w:tc>
        <w:tc>
          <w:tcPr>
            <w:tcW w:w="894" w:type="dxa"/>
            <w:noWrap/>
          </w:tcPr>
          <w:p w14:paraId="1F0B878F" w14:textId="5D11855B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1,27%</w:t>
            </w:r>
          </w:p>
        </w:tc>
        <w:tc>
          <w:tcPr>
            <w:tcW w:w="892" w:type="dxa"/>
            <w:noWrap/>
          </w:tcPr>
          <w:p w14:paraId="185C32F2" w14:textId="0435DA5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0,06%</w:t>
            </w:r>
          </w:p>
        </w:tc>
        <w:tc>
          <w:tcPr>
            <w:tcW w:w="813" w:type="dxa"/>
            <w:noWrap/>
          </w:tcPr>
          <w:p w14:paraId="241B3805" w14:textId="1606A87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6F89C6F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B75835F" w14:textId="45549C74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Nexi</w:t>
            </w:r>
          </w:p>
        </w:tc>
        <w:tc>
          <w:tcPr>
            <w:tcW w:w="919" w:type="dxa"/>
            <w:noWrap/>
          </w:tcPr>
          <w:p w14:paraId="563D9FCA" w14:textId="2105ECC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4,74%</w:t>
            </w:r>
          </w:p>
        </w:tc>
        <w:tc>
          <w:tcPr>
            <w:tcW w:w="1480" w:type="dxa"/>
            <w:noWrap/>
          </w:tcPr>
          <w:p w14:paraId="1527DEC7" w14:textId="7B58AE4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3,50%</w:t>
            </w:r>
          </w:p>
        </w:tc>
        <w:tc>
          <w:tcPr>
            <w:tcW w:w="1092" w:type="dxa"/>
            <w:noWrap/>
          </w:tcPr>
          <w:p w14:paraId="359A3C54" w14:textId="1423F2C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0,20%</w:t>
            </w:r>
          </w:p>
        </w:tc>
        <w:tc>
          <w:tcPr>
            <w:tcW w:w="1134" w:type="dxa"/>
            <w:noWrap/>
          </w:tcPr>
          <w:p w14:paraId="790939A7" w14:textId="422498E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0,03%</w:t>
            </w:r>
          </w:p>
        </w:tc>
        <w:tc>
          <w:tcPr>
            <w:tcW w:w="894" w:type="dxa"/>
            <w:noWrap/>
          </w:tcPr>
          <w:p w14:paraId="71F5C562" w14:textId="11099D2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0,60%</w:t>
            </w:r>
          </w:p>
        </w:tc>
        <w:tc>
          <w:tcPr>
            <w:tcW w:w="892" w:type="dxa"/>
            <w:noWrap/>
          </w:tcPr>
          <w:p w14:paraId="7CA23B68" w14:textId="38DE712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0,42%</w:t>
            </w:r>
          </w:p>
        </w:tc>
        <w:tc>
          <w:tcPr>
            <w:tcW w:w="813" w:type="dxa"/>
            <w:noWrap/>
          </w:tcPr>
          <w:p w14:paraId="76CDF9E4" w14:textId="4903134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207C78F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A962ADD" w14:textId="5A02F2FE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Sella Holding</w:t>
            </w:r>
          </w:p>
        </w:tc>
        <w:tc>
          <w:tcPr>
            <w:tcW w:w="919" w:type="dxa"/>
            <w:noWrap/>
          </w:tcPr>
          <w:p w14:paraId="0DF72047" w14:textId="48A6CCE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4,13%</w:t>
            </w:r>
          </w:p>
        </w:tc>
        <w:tc>
          <w:tcPr>
            <w:tcW w:w="1480" w:type="dxa"/>
            <w:noWrap/>
          </w:tcPr>
          <w:p w14:paraId="5C9DFBEA" w14:textId="4210034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2,35%</w:t>
            </w:r>
          </w:p>
        </w:tc>
        <w:tc>
          <w:tcPr>
            <w:tcW w:w="1092" w:type="dxa"/>
            <w:noWrap/>
          </w:tcPr>
          <w:p w14:paraId="33D61BB9" w14:textId="7B598AB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0,27%</w:t>
            </w:r>
          </w:p>
        </w:tc>
        <w:tc>
          <w:tcPr>
            <w:tcW w:w="1134" w:type="dxa"/>
            <w:noWrap/>
          </w:tcPr>
          <w:p w14:paraId="37F24846" w14:textId="352B478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0,09%</w:t>
            </w:r>
          </w:p>
        </w:tc>
        <w:tc>
          <w:tcPr>
            <w:tcW w:w="894" w:type="dxa"/>
            <w:noWrap/>
          </w:tcPr>
          <w:p w14:paraId="64CB6484" w14:textId="5862DC2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1,21%</w:t>
            </w:r>
          </w:p>
        </w:tc>
        <w:tc>
          <w:tcPr>
            <w:tcW w:w="892" w:type="dxa"/>
            <w:noWrap/>
          </w:tcPr>
          <w:p w14:paraId="69DC19E8" w14:textId="63A5B30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0,21%</w:t>
            </w:r>
          </w:p>
        </w:tc>
        <w:tc>
          <w:tcPr>
            <w:tcW w:w="813" w:type="dxa"/>
            <w:noWrap/>
          </w:tcPr>
          <w:p w14:paraId="3BDAC015" w14:textId="682405E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9110464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F7FA24D" w14:textId="3E30E6D8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 xml:space="preserve">IwBank </w:t>
            </w:r>
          </w:p>
        </w:tc>
        <w:tc>
          <w:tcPr>
            <w:tcW w:w="919" w:type="dxa"/>
            <w:noWrap/>
          </w:tcPr>
          <w:p w14:paraId="2E822649" w14:textId="66D1864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3,20%</w:t>
            </w:r>
          </w:p>
        </w:tc>
        <w:tc>
          <w:tcPr>
            <w:tcW w:w="1480" w:type="dxa"/>
            <w:noWrap/>
          </w:tcPr>
          <w:p w14:paraId="52038ED8" w14:textId="0F194C3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1,68%</w:t>
            </w:r>
          </w:p>
        </w:tc>
        <w:tc>
          <w:tcPr>
            <w:tcW w:w="1092" w:type="dxa"/>
            <w:noWrap/>
          </w:tcPr>
          <w:p w14:paraId="6D8BC384" w14:textId="588E1F4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0,23%</w:t>
            </w:r>
          </w:p>
        </w:tc>
        <w:tc>
          <w:tcPr>
            <w:tcW w:w="1134" w:type="dxa"/>
            <w:noWrap/>
          </w:tcPr>
          <w:p w14:paraId="25D890FF" w14:textId="5F52578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0,02%</w:t>
            </w:r>
          </w:p>
        </w:tc>
        <w:tc>
          <w:tcPr>
            <w:tcW w:w="894" w:type="dxa"/>
            <w:noWrap/>
          </w:tcPr>
          <w:p w14:paraId="003F4BCD" w14:textId="74F3EDF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1,27%</w:t>
            </w:r>
          </w:p>
        </w:tc>
        <w:tc>
          <w:tcPr>
            <w:tcW w:w="892" w:type="dxa"/>
            <w:noWrap/>
          </w:tcPr>
          <w:p w14:paraId="174B9DB0" w14:textId="4CFD117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13" w:type="dxa"/>
            <w:noWrap/>
          </w:tcPr>
          <w:p w14:paraId="4AED34D7" w14:textId="1828968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774129F2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CE225AD" w14:textId="7514CDDF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Intermonte SIM</w:t>
            </w:r>
          </w:p>
        </w:tc>
        <w:tc>
          <w:tcPr>
            <w:tcW w:w="919" w:type="dxa"/>
            <w:noWrap/>
          </w:tcPr>
          <w:p w14:paraId="3ACC4446" w14:textId="2394026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3,16%</w:t>
            </w:r>
          </w:p>
        </w:tc>
        <w:tc>
          <w:tcPr>
            <w:tcW w:w="1480" w:type="dxa"/>
            <w:noWrap/>
          </w:tcPr>
          <w:p w14:paraId="496416F5" w14:textId="002E2E0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2,51%</w:t>
            </w:r>
          </w:p>
        </w:tc>
        <w:tc>
          <w:tcPr>
            <w:tcW w:w="1092" w:type="dxa"/>
            <w:noWrap/>
          </w:tcPr>
          <w:p w14:paraId="1FD19391" w14:textId="06A7690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0,11%</w:t>
            </w:r>
          </w:p>
        </w:tc>
        <w:tc>
          <w:tcPr>
            <w:tcW w:w="1134" w:type="dxa"/>
            <w:noWrap/>
          </w:tcPr>
          <w:p w14:paraId="4616DDFE" w14:textId="5F74FFC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0,05%</w:t>
            </w:r>
          </w:p>
        </w:tc>
        <w:tc>
          <w:tcPr>
            <w:tcW w:w="894" w:type="dxa"/>
            <w:noWrap/>
          </w:tcPr>
          <w:p w14:paraId="764F3B94" w14:textId="268502B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0,49%</w:t>
            </w:r>
          </w:p>
        </w:tc>
        <w:tc>
          <w:tcPr>
            <w:tcW w:w="892" w:type="dxa"/>
            <w:noWrap/>
          </w:tcPr>
          <w:p w14:paraId="58AD8298" w14:textId="51C981A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1377D55E" w14:textId="6576C32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F74A173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9F32EF7" w14:textId="3A2AE94F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Aletti</w:t>
            </w:r>
          </w:p>
        </w:tc>
        <w:tc>
          <w:tcPr>
            <w:tcW w:w="919" w:type="dxa"/>
            <w:noWrap/>
          </w:tcPr>
          <w:p w14:paraId="215D6B8F" w14:textId="57C516F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3,13%</w:t>
            </w:r>
          </w:p>
        </w:tc>
        <w:tc>
          <w:tcPr>
            <w:tcW w:w="1480" w:type="dxa"/>
            <w:noWrap/>
          </w:tcPr>
          <w:p w14:paraId="17F41EC6" w14:textId="3F0FEE2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2,02%</w:t>
            </w:r>
          </w:p>
        </w:tc>
        <w:tc>
          <w:tcPr>
            <w:tcW w:w="1092" w:type="dxa"/>
            <w:noWrap/>
          </w:tcPr>
          <w:p w14:paraId="0B4D52E5" w14:textId="613147B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0,27%</w:t>
            </w:r>
          </w:p>
        </w:tc>
        <w:tc>
          <w:tcPr>
            <w:tcW w:w="1134" w:type="dxa"/>
            <w:noWrap/>
          </w:tcPr>
          <w:p w14:paraId="3071E12D" w14:textId="3A99B5C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0,03%</w:t>
            </w:r>
          </w:p>
        </w:tc>
        <w:tc>
          <w:tcPr>
            <w:tcW w:w="894" w:type="dxa"/>
            <w:noWrap/>
          </w:tcPr>
          <w:p w14:paraId="1BD847DA" w14:textId="35DFCC9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0,53%</w:t>
            </w:r>
          </w:p>
        </w:tc>
        <w:tc>
          <w:tcPr>
            <w:tcW w:w="892" w:type="dxa"/>
            <w:noWrap/>
          </w:tcPr>
          <w:p w14:paraId="53493B21" w14:textId="65B89E4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0,27%</w:t>
            </w:r>
          </w:p>
        </w:tc>
        <w:tc>
          <w:tcPr>
            <w:tcW w:w="813" w:type="dxa"/>
            <w:noWrap/>
          </w:tcPr>
          <w:p w14:paraId="3B6E3F06" w14:textId="7C9E718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D5EDA3A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8626B35" w14:textId="1B455AF0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MPS Capital Services</w:t>
            </w:r>
          </w:p>
        </w:tc>
        <w:tc>
          <w:tcPr>
            <w:tcW w:w="919" w:type="dxa"/>
            <w:noWrap/>
          </w:tcPr>
          <w:p w14:paraId="42B78D19" w14:textId="769C4F4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3,06%</w:t>
            </w:r>
          </w:p>
        </w:tc>
        <w:tc>
          <w:tcPr>
            <w:tcW w:w="1480" w:type="dxa"/>
            <w:noWrap/>
          </w:tcPr>
          <w:p w14:paraId="16ACBE71" w14:textId="659A0F9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1,31%</w:t>
            </w:r>
          </w:p>
        </w:tc>
        <w:tc>
          <w:tcPr>
            <w:tcW w:w="1092" w:type="dxa"/>
            <w:noWrap/>
          </w:tcPr>
          <w:p w14:paraId="7C12BE07" w14:textId="6254E1B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0,17%</w:t>
            </w:r>
          </w:p>
        </w:tc>
        <w:tc>
          <w:tcPr>
            <w:tcW w:w="1134" w:type="dxa"/>
            <w:noWrap/>
          </w:tcPr>
          <w:p w14:paraId="76110F98" w14:textId="6D63AC0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4" w:type="dxa"/>
            <w:noWrap/>
          </w:tcPr>
          <w:p w14:paraId="07904092" w14:textId="23CB692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0,71%</w:t>
            </w:r>
          </w:p>
        </w:tc>
        <w:tc>
          <w:tcPr>
            <w:tcW w:w="892" w:type="dxa"/>
            <w:noWrap/>
          </w:tcPr>
          <w:p w14:paraId="4409C860" w14:textId="4D8CCFB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0,09%</w:t>
            </w:r>
          </w:p>
        </w:tc>
        <w:tc>
          <w:tcPr>
            <w:tcW w:w="813" w:type="dxa"/>
            <w:noWrap/>
          </w:tcPr>
          <w:p w14:paraId="4658F293" w14:textId="2E093FD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0,78%</w:t>
            </w:r>
          </w:p>
        </w:tc>
      </w:tr>
      <w:tr w:rsidR="008A7995" w:rsidRPr="00065720" w14:paraId="4869FD69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AE6C155" w14:textId="4EBE577E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UBI Banca</w:t>
            </w:r>
          </w:p>
        </w:tc>
        <w:tc>
          <w:tcPr>
            <w:tcW w:w="919" w:type="dxa"/>
            <w:noWrap/>
          </w:tcPr>
          <w:p w14:paraId="2193A0B0" w14:textId="33E353A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2,46%</w:t>
            </w:r>
          </w:p>
        </w:tc>
        <w:tc>
          <w:tcPr>
            <w:tcW w:w="1480" w:type="dxa"/>
            <w:noWrap/>
          </w:tcPr>
          <w:p w14:paraId="37884C5D" w14:textId="330D161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2,06%</w:t>
            </w:r>
          </w:p>
        </w:tc>
        <w:tc>
          <w:tcPr>
            <w:tcW w:w="1092" w:type="dxa"/>
            <w:noWrap/>
          </w:tcPr>
          <w:p w14:paraId="02E6701E" w14:textId="18165EA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0,14%</w:t>
            </w:r>
          </w:p>
        </w:tc>
        <w:tc>
          <w:tcPr>
            <w:tcW w:w="1134" w:type="dxa"/>
            <w:noWrap/>
          </w:tcPr>
          <w:p w14:paraId="5D67EAB1" w14:textId="2D3B14A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76A36031" w14:textId="4E9308A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0,25%</w:t>
            </w:r>
          </w:p>
        </w:tc>
        <w:tc>
          <w:tcPr>
            <w:tcW w:w="892" w:type="dxa"/>
            <w:noWrap/>
          </w:tcPr>
          <w:p w14:paraId="74AE2B1D" w14:textId="3A7FD39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8B8E65A" w14:textId="03660A1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24347169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52B8282" w14:textId="772F605A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Equita SIM</w:t>
            </w:r>
          </w:p>
        </w:tc>
        <w:tc>
          <w:tcPr>
            <w:tcW w:w="919" w:type="dxa"/>
            <w:noWrap/>
          </w:tcPr>
          <w:p w14:paraId="113A7525" w14:textId="79C0CAC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1,61%</w:t>
            </w:r>
          </w:p>
        </w:tc>
        <w:tc>
          <w:tcPr>
            <w:tcW w:w="1480" w:type="dxa"/>
            <w:noWrap/>
          </w:tcPr>
          <w:p w14:paraId="0AACBD99" w14:textId="7430571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1,02%</w:t>
            </w:r>
          </w:p>
        </w:tc>
        <w:tc>
          <w:tcPr>
            <w:tcW w:w="1092" w:type="dxa"/>
            <w:noWrap/>
          </w:tcPr>
          <w:p w14:paraId="1FF2500E" w14:textId="7D8AC22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0,49%</w:t>
            </w:r>
          </w:p>
        </w:tc>
        <w:tc>
          <w:tcPr>
            <w:tcW w:w="1134" w:type="dxa"/>
            <w:noWrap/>
          </w:tcPr>
          <w:p w14:paraId="2DF5E8C7" w14:textId="4F46810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4DEFDCE7" w14:textId="5ED0819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0,06%</w:t>
            </w:r>
          </w:p>
        </w:tc>
        <w:tc>
          <w:tcPr>
            <w:tcW w:w="892" w:type="dxa"/>
            <w:noWrap/>
          </w:tcPr>
          <w:p w14:paraId="05FA761E" w14:textId="000889D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0,03%</w:t>
            </w:r>
          </w:p>
        </w:tc>
        <w:tc>
          <w:tcPr>
            <w:tcW w:w="813" w:type="dxa"/>
            <w:noWrap/>
          </w:tcPr>
          <w:p w14:paraId="74921B76" w14:textId="4750D77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771333CF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AEF8038" w14:textId="6F9045E4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Directa SIM</w:t>
            </w:r>
          </w:p>
        </w:tc>
        <w:tc>
          <w:tcPr>
            <w:tcW w:w="919" w:type="dxa"/>
            <w:noWrap/>
          </w:tcPr>
          <w:p w14:paraId="2116AB3A" w14:textId="629C22D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1,11%</w:t>
            </w:r>
          </w:p>
        </w:tc>
        <w:tc>
          <w:tcPr>
            <w:tcW w:w="1480" w:type="dxa"/>
            <w:noWrap/>
          </w:tcPr>
          <w:p w14:paraId="7DB3A376" w14:textId="1AF08A7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0,61%</w:t>
            </w:r>
          </w:p>
        </w:tc>
        <w:tc>
          <w:tcPr>
            <w:tcW w:w="1092" w:type="dxa"/>
            <w:noWrap/>
          </w:tcPr>
          <w:p w14:paraId="6F92EC70" w14:textId="18FDA75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0,04%</w:t>
            </w:r>
          </w:p>
        </w:tc>
        <w:tc>
          <w:tcPr>
            <w:tcW w:w="1134" w:type="dxa"/>
            <w:noWrap/>
          </w:tcPr>
          <w:p w14:paraId="72856737" w14:textId="560A7F5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0,04%</w:t>
            </w:r>
          </w:p>
        </w:tc>
        <w:tc>
          <w:tcPr>
            <w:tcW w:w="894" w:type="dxa"/>
            <w:noWrap/>
          </w:tcPr>
          <w:p w14:paraId="02D5A3CB" w14:textId="6BC3FD4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0,42%</w:t>
            </w:r>
          </w:p>
        </w:tc>
        <w:tc>
          <w:tcPr>
            <w:tcW w:w="892" w:type="dxa"/>
            <w:noWrap/>
          </w:tcPr>
          <w:p w14:paraId="58F94B22" w14:textId="54E5EFB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6EC42D85" w14:textId="67C3383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CB6D483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6B78D00" w14:textId="0CD63CEF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Credem</w:t>
            </w:r>
          </w:p>
        </w:tc>
        <w:tc>
          <w:tcPr>
            <w:tcW w:w="919" w:type="dxa"/>
            <w:noWrap/>
          </w:tcPr>
          <w:p w14:paraId="3AA91C21" w14:textId="58D964D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0,74%</w:t>
            </w:r>
          </w:p>
        </w:tc>
        <w:tc>
          <w:tcPr>
            <w:tcW w:w="1480" w:type="dxa"/>
            <w:noWrap/>
          </w:tcPr>
          <w:p w14:paraId="04A903BF" w14:textId="26FF4FB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0,56%</w:t>
            </w:r>
          </w:p>
        </w:tc>
        <w:tc>
          <w:tcPr>
            <w:tcW w:w="1092" w:type="dxa"/>
            <w:noWrap/>
          </w:tcPr>
          <w:p w14:paraId="63015D1F" w14:textId="2BA2331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0,08%</w:t>
            </w:r>
          </w:p>
        </w:tc>
        <w:tc>
          <w:tcPr>
            <w:tcW w:w="1134" w:type="dxa"/>
            <w:noWrap/>
          </w:tcPr>
          <w:p w14:paraId="465E6AF1" w14:textId="088ECCC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2F3982FB" w14:textId="6951C1F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0,08%</w:t>
            </w:r>
          </w:p>
        </w:tc>
        <w:tc>
          <w:tcPr>
            <w:tcW w:w="892" w:type="dxa"/>
            <w:noWrap/>
          </w:tcPr>
          <w:p w14:paraId="4C62B272" w14:textId="142B57B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0164A266" w14:textId="5CD162A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14CB13DE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D035492" w14:textId="11EC4F1B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Mediobanca</w:t>
            </w:r>
          </w:p>
        </w:tc>
        <w:tc>
          <w:tcPr>
            <w:tcW w:w="919" w:type="dxa"/>
            <w:noWrap/>
          </w:tcPr>
          <w:p w14:paraId="63D0461B" w14:textId="008AB68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0,54%</w:t>
            </w:r>
          </w:p>
        </w:tc>
        <w:tc>
          <w:tcPr>
            <w:tcW w:w="1480" w:type="dxa"/>
            <w:noWrap/>
          </w:tcPr>
          <w:p w14:paraId="481E72E4" w14:textId="64897A2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0,32%</w:t>
            </w:r>
          </w:p>
        </w:tc>
        <w:tc>
          <w:tcPr>
            <w:tcW w:w="1092" w:type="dxa"/>
            <w:noWrap/>
          </w:tcPr>
          <w:p w14:paraId="532A830C" w14:textId="091F7EC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0,05%</w:t>
            </w:r>
          </w:p>
        </w:tc>
        <w:tc>
          <w:tcPr>
            <w:tcW w:w="1134" w:type="dxa"/>
            <w:noWrap/>
          </w:tcPr>
          <w:p w14:paraId="20F2449E" w14:textId="184FC3C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093F3266" w14:textId="4717870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0,16%</w:t>
            </w:r>
          </w:p>
        </w:tc>
        <w:tc>
          <w:tcPr>
            <w:tcW w:w="892" w:type="dxa"/>
            <w:noWrap/>
          </w:tcPr>
          <w:p w14:paraId="587D3417" w14:textId="5DCFEAF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64449AB" w14:textId="0DB1107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643CBB6E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DC5F0F5" w14:textId="31A36DB7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Generali</w:t>
            </w:r>
          </w:p>
        </w:tc>
        <w:tc>
          <w:tcPr>
            <w:tcW w:w="919" w:type="dxa"/>
            <w:noWrap/>
          </w:tcPr>
          <w:p w14:paraId="3DB9C185" w14:textId="6CA5206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0,51%</w:t>
            </w:r>
          </w:p>
        </w:tc>
        <w:tc>
          <w:tcPr>
            <w:tcW w:w="1480" w:type="dxa"/>
            <w:noWrap/>
          </w:tcPr>
          <w:p w14:paraId="1A41CEFB" w14:textId="15D8834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0,30%</w:t>
            </w:r>
          </w:p>
        </w:tc>
        <w:tc>
          <w:tcPr>
            <w:tcW w:w="1092" w:type="dxa"/>
            <w:noWrap/>
          </w:tcPr>
          <w:p w14:paraId="69AE277B" w14:textId="2E312AD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0,06%</w:t>
            </w:r>
          </w:p>
        </w:tc>
        <w:tc>
          <w:tcPr>
            <w:tcW w:w="1134" w:type="dxa"/>
            <w:noWrap/>
          </w:tcPr>
          <w:p w14:paraId="592D91A4" w14:textId="2F44363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4439395D" w14:textId="66E1C9B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0,14%</w:t>
            </w:r>
          </w:p>
        </w:tc>
        <w:tc>
          <w:tcPr>
            <w:tcW w:w="892" w:type="dxa"/>
            <w:noWrap/>
          </w:tcPr>
          <w:p w14:paraId="625A7721" w14:textId="0C7581B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43991EBB" w14:textId="46B44B1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92F3930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8EF6074" w14:textId="65B4D414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Finsud SIM</w:t>
            </w:r>
          </w:p>
        </w:tc>
        <w:tc>
          <w:tcPr>
            <w:tcW w:w="919" w:type="dxa"/>
            <w:noWrap/>
          </w:tcPr>
          <w:p w14:paraId="6253EE6C" w14:textId="7F03EEC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0,36%</w:t>
            </w:r>
          </w:p>
        </w:tc>
        <w:tc>
          <w:tcPr>
            <w:tcW w:w="1480" w:type="dxa"/>
            <w:noWrap/>
          </w:tcPr>
          <w:p w14:paraId="48EE8C7C" w14:textId="54EC5A2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0,36%</w:t>
            </w:r>
          </w:p>
        </w:tc>
        <w:tc>
          <w:tcPr>
            <w:tcW w:w="1092" w:type="dxa"/>
            <w:noWrap/>
          </w:tcPr>
          <w:p w14:paraId="0290566E" w14:textId="1C8C3FE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76506438" w14:textId="4B8DDE0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0521A346" w14:textId="2F5B179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76816042" w14:textId="12FCF7C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C56CE25" w14:textId="17C39EE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16E9AC96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73B18E72" w14:textId="6538F1DC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Intermobiliare</w:t>
            </w:r>
          </w:p>
        </w:tc>
        <w:tc>
          <w:tcPr>
            <w:tcW w:w="919" w:type="dxa"/>
            <w:noWrap/>
          </w:tcPr>
          <w:p w14:paraId="7DB2AB77" w14:textId="0A4C635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0,33%</w:t>
            </w:r>
          </w:p>
        </w:tc>
        <w:tc>
          <w:tcPr>
            <w:tcW w:w="1480" w:type="dxa"/>
            <w:noWrap/>
          </w:tcPr>
          <w:p w14:paraId="4A68DE67" w14:textId="2F8CB9A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0,22%</w:t>
            </w:r>
          </w:p>
        </w:tc>
        <w:tc>
          <w:tcPr>
            <w:tcW w:w="1092" w:type="dxa"/>
            <w:noWrap/>
          </w:tcPr>
          <w:p w14:paraId="3428FE18" w14:textId="44BB37D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0,03%</w:t>
            </w:r>
          </w:p>
        </w:tc>
        <w:tc>
          <w:tcPr>
            <w:tcW w:w="1134" w:type="dxa"/>
            <w:noWrap/>
          </w:tcPr>
          <w:p w14:paraId="23A8AF0B" w14:textId="5D5972A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4" w:type="dxa"/>
            <w:noWrap/>
          </w:tcPr>
          <w:p w14:paraId="1950080C" w14:textId="4B90DBD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0,07%</w:t>
            </w:r>
          </w:p>
        </w:tc>
        <w:tc>
          <w:tcPr>
            <w:tcW w:w="892" w:type="dxa"/>
            <w:noWrap/>
          </w:tcPr>
          <w:p w14:paraId="2E51800A" w14:textId="0F4FB40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13" w:type="dxa"/>
            <w:noWrap/>
          </w:tcPr>
          <w:p w14:paraId="07A9C4A5" w14:textId="66FD200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7D390A1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D8EA447" w14:textId="54A362A8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Finnat Euramerica</w:t>
            </w:r>
          </w:p>
        </w:tc>
        <w:tc>
          <w:tcPr>
            <w:tcW w:w="919" w:type="dxa"/>
            <w:noWrap/>
          </w:tcPr>
          <w:p w14:paraId="0440EA99" w14:textId="7FB97AD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0,17%</w:t>
            </w:r>
          </w:p>
        </w:tc>
        <w:tc>
          <w:tcPr>
            <w:tcW w:w="1480" w:type="dxa"/>
            <w:noWrap/>
          </w:tcPr>
          <w:p w14:paraId="4974A8E7" w14:textId="09AA098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0,16%</w:t>
            </w:r>
          </w:p>
        </w:tc>
        <w:tc>
          <w:tcPr>
            <w:tcW w:w="1092" w:type="dxa"/>
            <w:noWrap/>
          </w:tcPr>
          <w:p w14:paraId="1B807E09" w14:textId="5B3B88A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1134" w:type="dxa"/>
            <w:noWrap/>
          </w:tcPr>
          <w:p w14:paraId="2B6FEA20" w14:textId="15F76DD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0,01%</w:t>
            </w:r>
          </w:p>
        </w:tc>
        <w:tc>
          <w:tcPr>
            <w:tcW w:w="894" w:type="dxa"/>
            <w:noWrap/>
          </w:tcPr>
          <w:p w14:paraId="7F7592B5" w14:textId="0A5D10D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5C8A15B9" w14:textId="0DB9978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387050AB" w14:textId="74CFE7D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63ADAC1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A604888" w14:textId="1B0CA9CA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Ersel SIM</w:t>
            </w:r>
          </w:p>
        </w:tc>
        <w:tc>
          <w:tcPr>
            <w:tcW w:w="919" w:type="dxa"/>
            <w:noWrap/>
          </w:tcPr>
          <w:p w14:paraId="7ACB4D4A" w14:textId="503E1A9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0,02%</w:t>
            </w:r>
          </w:p>
        </w:tc>
        <w:tc>
          <w:tcPr>
            <w:tcW w:w="1480" w:type="dxa"/>
            <w:noWrap/>
          </w:tcPr>
          <w:p w14:paraId="6460FF73" w14:textId="798ED6E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0,02%</w:t>
            </w:r>
          </w:p>
        </w:tc>
        <w:tc>
          <w:tcPr>
            <w:tcW w:w="1092" w:type="dxa"/>
            <w:noWrap/>
          </w:tcPr>
          <w:p w14:paraId="7834CA72" w14:textId="30589CB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1C47784B" w14:textId="6AEE1AF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7CDE98E7" w14:textId="15982F5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029CD6F3" w14:textId="23F61B6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5EED3A9" w14:textId="22A37BC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6562D15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AE6FF38" w14:textId="4FDA6D4B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Banca Leonardo</w:t>
            </w:r>
          </w:p>
        </w:tc>
        <w:tc>
          <w:tcPr>
            <w:tcW w:w="919" w:type="dxa"/>
            <w:noWrap/>
          </w:tcPr>
          <w:p w14:paraId="6AD9F0C4" w14:textId="77D6BFF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45F67ED9" w14:textId="048F708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092" w:type="dxa"/>
            <w:noWrap/>
          </w:tcPr>
          <w:p w14:paraId="1C6D1730" w14:textId="5280D56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201F4370" w14:textId="2DCEA07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6A6ADF99" w14:textId="082F31D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2110EE77" w14:textId="3385718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219904B4" w14:textId="049D53C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513A57A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30C413E" w14:textId="099FB7F5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UBS Ltd</w:t>
            </w:r>
          </w:p>
        </w:tc>
        <w:tc>
          <w:tcPr>
            <w:tcW w:w="919" w:type="dxa"/>
            <w:noWrap/>
          </w:tcPr>
          <w:p w14:paraId="782FAD5A" w14:textId="0DDCA00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581A60FC" w14:textId="0C8CE83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0707972A" w14:textId="3387776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493EE426" w14:textId="1EBC031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0CC360FF" w14:textId="63F3A36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2" w:type="dxa"/>
            <w:noWrap/>
          </w:tcPr>
          <w:p w14:paraId="3E6CCC49" w14:textId="2161AD6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6EE5E874" w14:textId="0C4D17F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178FA258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DBFEC32" w14:textId="4F60E016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Nuovi Investimenti SIM</w:t>
            </w:r>
          </w:p>
        </w:tc>
        <w:tc>
          <w:tcPr>
            <w:tcW w:w="919" w:type="dxa"/>
            <w:noWrap/>
          </w:tcPr>
          <w:p w14:paraId="26D520D1" w14:textId="14D07A1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5958C5EB" w14:textId="02A4662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3DADB9F6" w14:textId="6EFBAF7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4CC3FA4B" w14:textId="0D41573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1565E69E" w14:textId="4B7CA76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014CE6F0" w14:textId="1CE9804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13" w:type="dxa"/>
            <w:noWrap/>
          </w:tcPr>
          <w:p w14:paraId="7E4426C0" w14:textId="27914D3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2C39AADB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7C53BC18" w14:textId="0564C119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BPER</w:t>
            </w:r>
          </w:p>
        </w:tc>
        <w:tc>
          <w:tcPr>
            <w:tcW w:w="919" w:type="dxa"/>
            <w:noWrap/>
          </w:tcPr>
          <w:p w14:paraId="3363D26A" w14:textId="44EA0FA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178C035A" w14:textId="62679C4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092" w:type="dxa"/>
            <w:noWrap/>
          </w:tcPr>
          <w:p w14:paraId="71695B2D" w14:textId="3BE2965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134" w:type="dxa"/>
            <w:noWrap/>
          </w:tcPr>
          <w:p w14:paraId="71DBB220" w14:textId="7EADBBC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4" w:type="dxa"/>
            <w:noWrap/>
          </w:tcPr>
          <w:p w14:paraId="144D5B4E" w14:textId="6A09A20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2" w:type="dxa"/>
            <w:noWrap/>
          </w:tcPr>
          <w:p w14:paraId="76B4858A" w14:textId="3B45FBF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067406E8" w14:textId="39F92F1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30806523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B5C4C5B" w14:textId="4C4BC152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Morgan Stanley</w:t>
            </w:r>
          </w:p>
        </w:tc>
        <w:tc>
          <w:tcPr>
            <w:tcW w:w="919" w:type="dxa"/>
            <w:noWrap/>
          </w:tcPr>
          <w:p w14:paraId="5EEA0CC2" w14:textId="0E99AD3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53F8562D" w14:textId="3896626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092" w:type="dxa"/>
            <w:noWrap/>
          </w:tcPr>
          <w:p w14:paraId="790EE52B" w14:textId="7C490FC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134" w:type="dxa"/>
            <w:noWrap/>
          </w:tcPr>
          <w:p w14:paraId="4B7AA73E" w14:textId="032A6A6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3B6EE2D8" w14:textId="19F0599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2" w:type="dxa"/>
            <w:noWrap/>
          </w:tcPr>
          <w:p w14:paraId="280152D6" w14:textId="06E031B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5D39177" w14:textId="276071C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A9F9EFE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8B4C090" w14:textId="11444068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>Societe Generale</w:t>
            </w:r>
          </w:p>
        </w:tc>
        <w:tc>
          <w:tcPr>
            <w:tcW w:w="919" w:type="dxa"/>
            <w:noWrap/>
          </w:tcPr>
          <w:p w14:paraId="594C2DC7" w14:textId="34AA6E3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5A85007C" w14:textId="09541FB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092" w:type="dxa"/>
            <w:noWrap/>
          </w:tcPr>
          <w:p w14:paraId="3B70830B" w14:textId="7B504A4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134" w:type="dxa"/>
            <w:noWrap/>
          </w:tcPr>
          <w:p w14:paraId="66600959" w14:textId="4C4160C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0D5378B2" w14:textId="523E472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2" w:type="dxa"/>
            <w:noWrap/>
          </w:tcPr>
          <w:p w14:paraId="564A0494" w14:textId="61E0CE9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709E7947" w14:textId="452E96E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7253D06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8A3360A" w14:textId="0267928D" w:rsidR="008A7995" w:rsidRPr="00A0090D" w:rsidRDefault="008A7995" w:rsidP="008A7995">
            <w:pPr>
              <w:rPr>
                <w:sz w:val="20"/>
                <w:szCs w:val="20"/>
              </w:rPr>
            </w:pPr>
            <w:r w:rsidRPr="00437066">
              <w:t xml:space="preserve">Deutsche Bank AG </w:t>
            </w:r>
          </w:p>
        </w:tc>
        <w:tc>
          <w:tcPr>
            <w:tcW w:w="919" w:type="dxa"/>
            <w:noWrap/>
          </w:tcPr>
          <w:p w14:paraId="185CE737" w14:textId="3A3BA5D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1480" w:type="dxa"/>
            <w:noWrap/>
          </w:tcPr>
          <w:p w14:paraId="3F1EEAB1" w14:textId="77EF3F3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201E6D9B" w14:textId="488718E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4A5F9CF6" w14:textId="01D4655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51157869" w14:textId="1D54FAD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09C">
              <w:t>0,00%</w:t>
            </w:r>
          </w:p>
        </w:tc>
        <w:tc>
          <w:tcPr>
            <w:tcW w:w="892" w:type="dxa"/>
            <w:noWrap/>
          </w:tcPr>
          <w:p w14:paraId="3FB93554" w14:textId="08615F4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3F3FA18C" w14:textId="1A90EF0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414786" w:rsidRPr="00065720" w14:paraId="4ED20DDD" w14:textId="77777777" w:rsidTr="00AF18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AA2B565" w14:textId="016E2918" w:rsidR="00414786" w:rsidRPr="00065720" w:rsidRDefault="00414786" w:rsidP="00414786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noWrap/>
          </w:tcPr>
          <w:p w14:paraId="0F15AF99" w14:textId="5FC70F1F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</w:tcPr>
          <w:p w14:paraId="4DFE3422" w14:textId="29CE05F3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</w:tcPr>
          <w:p w14:paraId="2C22D4FE" w14:textId="6FFBCC00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F51E98B" w14:textId="31D914B2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</w:tcPr>
          <w:p w14:paraId="14794819" w14:textId="70B6DA14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0BCFAF51" w14:textId="4857F09F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</w:tcPr>
          <w:p w14:paraId="39856DCC" w14:textId="0D77CF4A" w:rsidR="00414786" w:rsidRPr="00065720" w:rsidRDefault="00414786" w:rsidP="0041478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E15" w:rsidRPr="00065720" w14:paraId="728F082D" w14:textId="77777777" w:rsidTr="00AF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72899D29" w14:textId="77777777" w:rsidR="004E6E15" w:rsidRPr="0036336A" w:rsidRDefault="004E6E15" w:rsidP="004E6E15">
            <w:pPr>
              <w:tabs>
                <w:tab w:val="left" w:pos="2340"/>
              </w:tabs>
            </w:pPr>
          </w:p>
        </w:tc>
        <w:tc>
          <w:tcPr>
            <w:tcW w:w="919" w:type="dxa"/>
            <w:noWrap/>
          </w:tcPr>
          <w:p w14:paraId="245F221D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</w:tcPr>
          <w:p w14:paraId="70AC7272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</w:tcPr>
          <w:p w14:paraId="22AF7D4C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1668614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</w:tcPr>
          <w:p w14:paraId="15329352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504A7366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</w:tcPr>
          <w:p w14:paraId="5339FC40" w14:textId="77777777" w:rsidR="004E6E15" w:rsidRPr="00065720" w:rsidRDefault="004E6E15" w:rsidP="004E6E15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720" w:rsidRPr="00065720" w14:paraId="62CB7E61" w14:textId="77777777" w:rsidTr="00AF18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  <w:hideMark/>
          </w:tcPr>
          <w:p w14:paraId="6B6AC08F" w14:textId="77777777" w:rsidR="00065720" w:rsidRPr="00065720" w:rsidRDefault="00065720" w:rsidP="000657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ASSOSIM</w:t>
            </w:r>
          </w:p>
        </w:tc>
        <w:tc>
          <w:tcPr>
            <w:tcW w:w="919" w:type="dxa"/>
            <w:noWrap/>
            <w:hideMark/>
          </w:tcPr>
          <w:p w14:paraId="796A0FA7" w14:textId="734C6989" w:rsidR="00065720" w:rsidRPr="00AD1D92" w:rsidRDefault="008A7995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7995">
              <w:rPr>
                <w:b/>
              </w:rPr>
              <w:t>99,24%</w:t>
            </w:r>
          </w:p>
        </w:tc>
        <w:tc>
          <w:tcPr>
            <w:tcW w:w="1480" w:type="dxa"/>
            <w:noWrap/>
            <w:hideMark/>
          </w:tcPr>
          <w:p w14:paraId="74E77479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6E6C3B11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922F7C8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14:paraId="5D889031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5B108E27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  <w:hideMark/>
          </w:tcPr>
          <w:p w14:paraId="252A4CA8" w14:textId="77777777" w:rsidR="00065720" w:rsidRPr="00065720" w:rsidRDefault="00065720" w:rsidP="000657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3BC35AB" w14:textId="77777777" w:rsidR="00065720" w:rsidRPr="00065720" w:rsidRDefault="00065720" w:rsidP="00065720">
      <w:pPr>
        <w:spacing w:after="0"/>
        <w:rPr>
          <w:bCs/>
        </w:rPr>
      </w:pPr>
    </w:p>
    <w:p w14:paraId="5663A036" w14:textId="77777777" w:rsidR="00065720" w:rsidRPr="00065720" w:rsidRDefault="00065720" w:rsidP="00065720">
      <w:pPr>
        <w:tabs>
          <w:tab w:val="left" w:pos="2340"/>
        </w:tabs>
        <w:jc w:val="both"/>
      </w:pPr>
      <w:r w:rsidRPr="00065720">
        <w:t>Nota metodologica: La classifica BONDS è elaborata aggregando i controvalori scambiati in conto terzi dagli intermediari Associati sul mercato DomesticMOT, EuroMOT ed ExtraMOT gestito da Borsa Italiana e sugli MTF gestiti da Eurotlx Sim e Hi MTF Sim e con il controvalore internalizzato dagli intermediari italiani su strumenti finanziari diversi dalle azioni.</w:t>
      </w:r>
      <w:r w:rsidR="005B362C">
        <w:t xml:space="preserve"> (</w:t>
      </w:r>
      <w:r w:rsidR="005B362C">
        <w:rPr>
          <w:sz w:val="20"/>
          <w:szCs w:val="20"/>
        </w:rPr>
        <w:t>N.O. - NON OPERATIVA)</w:t>
      </w:r>
    </w:p>
    <w:p w14:paraId="47060F35" w14:textId="77777777" w:rsidR="00065720" w:rsidRPr="00AF18EC" w:rsidRDefault="00065720" w:rsidP="00AF18EC">
      <w:pPr>
        <w:spacing w:after="0"/>
        <w:jc w:val="center"/>
      </w:pPr>
    </w:p>
    <w:p w14:paraId="4E824B0E" w14:textId="77777777" w:rsidR="00065720" w:rsidRPr="00AF18EC" w:rsidRDefault="00065720" w:rsidP="00AF18EC">
      <w:pPr>
        <w:spacing w:after="0"/>
        <w:jc w:val="center"/>
      </w:pPr>
    </w:p>
    <w:p w14:paraId="77863A04" w14:textId="77777777" w:rsidR="00065720" w:rsidRPr="00AF18EC" w:rsidRDefault="00065720" w:rsidP="00AF18EC">
      <w:pPr>
        <w:spacing w:after="0"/>
        <w:jc w:val="center"/>
      </w:pPr>
    </w:p>
    <w:p w14:paraId="736C94CD" w14:textId="77777777" w:rsidR="00065720" w:rsidRDefault="00065720" w:rsidP="00AF18EC">
      <w:pPr>
        <w:spacing w:after="0"/>
        <w:jc w:val="center"/>
      </w:pPr>
    </w:p>
    <w:p w14:paraId="2795654D" w14:textId="77777777" w:rsidR="00AF18EC" w:rsidRDefault="00AF18EC" w:rsidP="00AF18EC">
      <w:pPr>
        <w:spacing w:after="0"/>
        <w:jc w:val="center"/>
      </w:pPr>
    </w:p>
    <w:p w14:paraId="295BF2F2" w14:textId="77777777" w:rsidR="00AF18EC" w:rsidRDefault="00AF18EC" w:rsidP="00AF18EC">
      <w:pPr>
        <w:spacing w:after="0"/>
        <w:jc w:val="center"/>
      </w:pPr>
    </w:p>
    <w:p w14:paraId="2D5B7D9C" w14:textId="77777777" w:rsidR="00AF18EC" w:rsidRPr="00AF18EC" w:rsidRDefault="00AF18EC" w:rsidP="00AF18EC">
      <w:pPr>
        <w:spacing w:after="0"/>
        <w:jc w:val="center"/>
      </w:pPr>
    </w:p>
    <w:p w14:paraId="3EE4B9BA" w14:textId="77777777" w:rsidR="00AF18EC" w:rsidRPr="0025586E" w:rsidRDefault="00AF18EC" w:rsidP="00AF18EC">
      <w:pPr>
        <w:spacing w:after="0"/>
        <w:jc w:val="center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BONDS: CLASSIFICA PER OPERAZIONI </w:t>
      </w:r>
    </w:p>
    <w:p w14:paraId="67B5D7DB" w14:textId="72FF9766" w:rsidR="00AF18EC" w:rsidRDefault="00AF18EC" w:rsidP="00AF18EC">
      <w:pPr>
        <w:spacing w:after="0"/>
        <w:jc w:val="center"/>
        <w:rPr>
          <w:color w:val="4F81BD" w:themeColor="accent1"/>
        </w:rPr>
      </w:pPr>
      <w:r w:rsidRPr="0025586E">
        <w:rPr>
          <w:color w:val="4F81BD" w:themeColor="accent1"/>
        </w:rPr>
        <w:t xml:space="preserve">INTERMEDIARI ASSOSIM </w:t>
      </w:r>
      <w:r w:rsidR="005E44F5">
        <w:rPr>
          <w:color w:val="4F81BD" w:themeColor="accent1"/>
        </w:rPr>
        <w:t xml:space="preserve">1° SEM. </w:t>
      </w:r>
      <w:r w:rsidR="005E44F5" w:rsidRPr="00F85D74">
        <w:rPr>
          <w:color w:val="4F81BD" w:themeColor="accent1"/>
        </w:rPr>
        <w:t>201</w:t>
      </w:r>
      <w:r w:rsidR="005E44F5">
        <w:rPr>
          <w:color w:val="4F81BD" w:themeColor="accent1"/>
        </w:rPr>
        <w:t>8</w:t>
      </w:r>
    </w:p>
    <w:p w14:paraId="4626CABE" w14:textId="5DC08000" w:rsidR="00AF18EC" w:rsidRPr="0025586E" w:rsidRDefault="009D588E" w:rsidP="00AF18EC">
      <w:pPr>
        <w:spacing w:after="0"/>
        <w:jc w:val="center"/>
        <w:rPr>
          <w:color w:val="4F81BD" w:themeColor="accent1"/>
        </w:rPr>
      </w:pPr>
      <w:r w:rsidRPr="009D588E">
        <w:rPr>
          <w:color w:val="4F81BD" w:themeColor="accent1"/>
        </w:rPr>
        <w:t>(OPERATIVITÀ IN CONTO TERZI)</w:t>
      </w:r>
    </w:p>
    <w:tbl>
      <w:tblPr>
        <w:tblStyle w:val="Sfondomedio2-Colore1"/>
        <w:tblW w:w="9854" w:type="dxa"/>
        <w:tblLayout w:type="fixed"/>
        <w:tblLook w:val="04A0" w:firstRow="1" w:lastRow="0" w:firstColumn="1" w:lastColumn="0" w:noHBand="0" w:noVBand="1"/>
      </w:tblPr>
      <w:tblGrid>
        <w:gridCol w:w="2630"/>
        <w:gridCol w:w="919"/>
        <w:gridCol w:w="1480"/>
        <w:gridCol w:w="1092"/>
        <w:gridCol w:w="1134"/>
        <w:gridCol w:w="894"/>
        <w:gridCol w:w="892"/>
        <w:gridCol w:w="813"/>
      </w:tblGrid>
      <w:tr w:rsidR="00AF18EC" w:rsidRPr="00065720" w14:paraId="0BCE81F3" w14:textId="77777777" w:rsidTr="00AF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0" w:type="dxa"/>
            <w:noWrap/>
            <w:hideMark/>
          </w:tcPr>
          <w:p w14:paraId="593CC139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SOCIETA'</w:t>
            </w:r>
          </w:p>
        </w:tc>
        <w:tc>
          <w:tcPr>
            <w:tcW w:w="919" w:type="dxa"/>
            <w:noWrap/>
            <w:hideMark/>
          </w:tcPr>
          <w:p w14:paraId="0ACD9E9F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Bonds</w:t>
            </w:r>
          </w:p>
        </w:tc>
        <w:tc>
          <w:tcPr>
            <w:tcW w:w="1480" w:type="dxa"/>
            <w:noWrap/>
            <w:hideMark/>
          </w:tcPr>
          <w:p w14:paraId="0D4AF75B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DomesticMOT</w:t>
            </w:r>
          </w:p>
        </w:tc>
        <w:tc>
          <w:tcPr>
            <w:tcW w:w="1092" w:type="dxa"/>
            <w:noWrap/>
            <w:hideMark/>
          </w:tcPr>
          <w:p w14:paraId="10001D60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EuroMOT</w:t>
            </w:r>
          </w:p>
        </w:tc>
        <w:tc>
          <w:tcPr>
            <w:tcW w:w="1134" w:type="dxa"/>
            <w:noWrap/>
            <w:hideMark/>
          </w:tcPr>
          <w:p w14:paraId="6F73B201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ExtraMOT</w:t>
            </w:r>
          </w:p>
        </w:tc>
        <w:tc>
          <w:tcPr>
            <w:tcW w:w="894" w:type="dxa"/>
            <w:noWrap/>
            <w:hideMark/>
          </w:tcPr>
          <w:p w14:paraId="4480D12A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Eurotlx</w:t>
            </w:r>
          </w:p>
        </w:tc>
        <w:tc>
          <w:tcPr>
            <w:tcW w:w="892" w:type="dxa"/>
            <w:noWrap/>
            <w:hideMark/>
          </w:tcPr>
          <w:p w14:paraId="1CE51B64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Hi MTF</w:t>
            </w:r>
          </w:p>
        </w:tc>
        <w:tc>
          <w:tcPr>
            <w:tcW w:w="813" w:type="dxa"/>
            <w:noWrap/>
            <w:hideMark/>
          </w:tcPr>
          <w:p w14:paraId="1C588AB8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IS</w:t>
            </w:r>
          </w:p>
        </w:tc>
      </w:tr>
      <w:tr w:rsidR="008A7995" w:rsidRPr="00065720" w14:paraId="62812CF6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C5BF73C" w14:textId="7BC81B39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IMI</w:t>
            </w:r>
          </w:p>
        </w:tc>
        <w:tc>
          <w:tcPr>
            <w:tcW w:w="919" w:type="dxa"/>
            <w:noWrap/>
          </w:tcPr>
          <w:p w14:paraId="3F2875DD" w14:textId="41CADCC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24,04%</w:t>
            </w:r>
          </w:p>
        </w:tc>
        <w:tc>
          <w:tcPr>
            <w:tcW w:w="1480" w:type="dxa"/>
            <w:noWrap/>
          </w:tcPr>
          <w:p w14:paraId="0E3E7A8D" w14:textId="1E85D0C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11,02%</w:t>
            </w:r>
          </w:p>
        </w:tc>
        <w:tc>
          <w:tcPr>
            <w:tcW w:w="1092" w:type="dxa"/>
            <w:noWrap/>
          </w:tcPr>
          <w:p w14:paraId="0DF02FD8" w14:textId="0EA8665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3,54%</w:t>
            </w:r>
          </w:p>
        </w:tc>
        <w:tc>
          <w:tcPr>
            <w:tcW w:w="1134" w:type="dxa"/>
            <w:noWrap/>
          </w:tcPr>
          <w:p w14:paraId="526822EC" w14:textId="6D6B334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0,13%</w:t>
            </w:r>
          </w:p>
        </w:tc>
        <w:tc>
          <w:tcPr>
            <w:tcW w:w="894" w:type="dxa"/>
            <w:noWrap/>
          </w:tcPr>
          <w:p w14:paraId="00108D15" w14:textId="449C226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8,99%</w:t>
            </w:r>
          </w:p>
        </w:tc>
        <w:tc>
          <w:tcPr>
            <w:tcW w:w="892" w:type="dxa"/>
            <w:noWrap/>
          </w:tcPr>
          <w:p w14:paraId="16010DD6" w14:textId="34E0DF5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0,37%</w:t>
            </w:r>
          </w:p>
        </w:tc>
        <w:tc>
          <w:tcPr>
            <w:tcW w:w="813" w:type="dxa"/>
            <w:noWrap/>
          </w:tcPr>
          <w:p w14:paraId="417C8EDB" w14:textId="6F6487F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40D56BC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0A6B2FC" w14:textId="46C94262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Akros</w:t>
            </w:r>
          </w:p>
        </w:tc>
        <w:tc>
          <w:tcPr>
            <w:tcW w:w="919" w:type="dxa"/>
            <w:noWrap/>
          </w:tcPr>
          <w:p w14:paraId="662D2A50" w14:textId="31E544E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16,18%</w:t>
            </w:r>
          </w:p>
        </w:tc>
        <w:tc>
          <w:tcPr>
            <w:tcW w:w="1480" w:type="dxa"/>
            <w:noWrap/>
          </w:tcPr>
          <w:p w14:paraId="6DBD24D0" w14:textId="4392320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6,74%</w:t>
            </w:r>
          </w:p>
        </w:tc>
        <w:tc>
          <w:tcPr>
            <w:tcW w:w="1092" w:type="dxa"/>
            <w:noWrap/>
          </w:tcPr>
          <w:p w14:paraId="0C3A3308" w14:textId="5A953E8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2,83%</w:t>
            </w:r>
          </w:p>
        </w:tc>
        <w:tc>
          <w:tcPr>
            <w:tcW w:w="1134" w:type="dxa"/>
            <w:noWrap/>
          </w:tcPr>
          <w:p w14:paraId="2FC469F0" w14:textId="2A8BDB8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0,20%</w:t>
            </w:r>
          </w:p>
        </w:tc>
        <w:tc>
          <w:tcPr>
            <w:tcW w:w="894" w:type="dxa"/>
            <w:noWrap/>
          </w:tcPr>
          <w:p w14:paraId="1D20E03A" w14:textId="52712C1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5,72%</w:t>
            </w:r>
          </w:p>
        </w:tc>
        <w:tc>
          <w:tcPr>
            <w:tcW w:w="892" w:type="dxa"/>
            <w:noWrap/>
          </w:tcPr>
          <w:p w14:paraId="1146C1DA" w14:textId="5AB4959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0,64%</w:t>
            </w:r>
          </w:p>
        </w:tc>
        <w:tc>
          <w:tcPr>
            <w:tcW w:w="813" w:type="dxa"/>
            <w:noWrap/>
          </w:tcPr>
          <w:p w14:paraId="6287852F" w14:textId="5CDAAC2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0,04%</w:t>
            </w:r>
          </w:p>
        </w:tc>
      </w:tr>
      <w:tr w:rsidR="008A7995" w:rsidRPr="00065720" w14:paraId="3532702A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EC52B0A" w14:textId="32047A00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Unicredit Bank AG</w:t>
            </w:r>
          </w:p>
        </w:tc>
        <w:tc>
          <w:tcPr>
            <w:tcW w:w="919" w:type="dxa"/>
            <w:noWrap/>
          </w:tcPr>
          <w:p w14:paraId="3D10CFB6" w14:textId="4C0B0AC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10,39%</w:t>
            </w:r>
          </w:p>
        </w:tc>
        <w:tc>
          <w:tcPr>
            <w:tcW w:w="1480" w:type="dxa"/>
            <w:noWrap/>
          </w:tcPr>
          <w:p w14:paraId="48FD51FB" w14:textId="5EA9D12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3,73%</w:t>
            </w:r>
          </w:p>
        </w:tc>
        <w:tc>
          <w:tcPr>
            <w:tcW w:w="1092" w:type="dxa"/>
            <w:noWrap/>
          </w:tcPr>
          <w:p w14:paraId="393EF45C" w14:textId="33CABDD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0,83%</w:t>
            </w:r>
          </w:p>
        </w:tc>
        <w:tc>
          <w:tcPr>
            <w:tcW w:w="1134" w:type="dxa"/>
            <w:noWrap/>
          </w:tcPr>
          <w:p w14:paraId="3F312FA9" w14:textId="03E1725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0,06%</w:t>
            </w:r>
          </w:p>
        </w:tc>
        <w:tc>
          <w:tcPr>
            <w:tcW w:w="894" w:type="dxa"/>
            <w:noWrap/>
          </w:tcPr>
          <w:p w14:paraId="5CFE2FBF" w14:textId="7AEC44E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5,77%</w:t>
            </w:r>
          </w:p>
        </w:tc>
        <w:tc>
          <w:tcPr>
            <w:tcW w:w="892" w:type="dxa"/>
            <w:noWrap/>
          </w:tcPr>
          <w:p w14:paraId="1E7AABEC" w14:textId="4225554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63224809" w14:textId="7EC1CAD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B6E633F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B05CE80" w14:textId="70C92804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Finecobank</w:t>
            </w:r>
          </w:p>
        </w:tc>
        <w:tc>
          <w:tcPr>
            <w:tcW w:w="919" w:type="dxa"/>
            <w:noWrap/>
          </w:tcPr>
          <w:p w14:paraId="58CFFD22" w14:textId="551C2ED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9,01%</w:t>
            </w:r>
          </w:p>
        </w:tc>
        <w:tc>
          <w:tcPr>
            <w:tcW w:w="1480" w:type="dxa"/>
            <w:noWrap/>
          </w:tcPr>
          <w:p w14:paraId="3E2EEC46" w14:textId="353D5DD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5,02%</w:t>
            </w:r>
          </w:p>
        </w:tc>
        <w:tc>
          <w:tcPr>
            <w:tcW w:w="1092" w:type="dxa"/>
            <w:noWrap/>
          </w:tcPr>
          <w:p w14:paraId="292B1AFD" w14:textId="0E4617B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1,23%</w:t>
            </w:r>
          </w:p>
        </w:tc>
        <w:tc>
          <w:tcPr>
            <w:tcW w:w="1134" w:type="dxa"/>
            <w:noWrap/>
          </w:tcPr>
          <w:p w14:paraId="75B7226A" w14:textId="32087EB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0,16%</w:t>
            </w:r>
          </w:p>
        </w:tc>
        <w:tc>
          <w:tcPr>
            <w:tcW w:w="894" w:type="dxa"/>
            <w:noWrap/>
          </w:tcPr>
          <w:p w14:paraId="0DB039CB" w14:textId="0AF1943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2,43%</w:t>
            </w:r>
          </w:p>
        </w:tc>
        <w:tc>
          <w:tcPr>
            <w:tcW w:w="892" w:type="dxa"/>
            <w:noWrap/>
          </w:tcPr>
          <w:p w14:paraId="3CA5C8D5" w14:textId="70CFA6C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0,18%</w:t>
            </w:r>
          </w:p>
        </w:tc>
        <w:tc>
          <w:tcPr>
            <w:tcW w:w="813" w:type="dxa"/>
            <w:noWrap/>
          </w:tcPr>
          <w:p w14:paraId="3F167409" w14:textId="6B8FF43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702E270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4E249E5" w14:textId="70110F5F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Invest Banca</w:t>
            </w:r>
          </w:p>
        </w:tc>
        <w:tc>
          <w:tcPr>
            <w:tcW w:w="919" w:type="dxa"/>
            <w:noWrap/>
          </w:tcPr>
          <w:p w14:paraId="6839A025" w14:textId="693DB48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5,39%</w:t>
            </w:r>
          </w:p>
        </w:tc>
        <w:tc>
          <w:tcPr>
            <w:tcW w:w="1480" w:type="dxa"/>
            <w:noWrap/>
          </w:tcPr>
          <w:p w14:paraId="05C19000" w14:textId="7F43545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5,25%</w:t>
            </w:r>
          </w:p>
        </w:tc>
        <w:tc>
          <w:tcPr>
            <w:tcW w:w="1092" w:type="dxa"/>
            <w:noWrap/>
          </w:tcPr>
          <w:p w14:paraId="6DBDFA55" w14:textId="550686E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0,09%</w:t>
            </w:r>
          </w:p>
        </w:tc>
        <w:tc>
          <w:tcPr>
            <w:tcW w:w="1134" w:type="dxa"/>
            <w:noWrap/>
          </w:tcPr>
          <w:p w14:paraId="2C3980C5" w14:textId="767175D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4" w:type="dxa"/>
            <w:noWrap/>
          </w:tcPr>
          <w:p w14:paraId="350DE301" w14:textId="4A949BA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70CA643E" w14:textId="79C204C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813" w:type="dxa"/>
            <w:noWrap/>
          </w:tcPr>
          <w:p w14:paraId="1F749849" w14:textId="233F351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</w:tr>
      <w:tr w:rsidR="008A7995" w:rsidRPr="00065720" w14:paraId="3A93FF5E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4B5CC30" w14:textId="59879B55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Sella Holding</w:t>
            </w:r>
          </w:p>
        </w:tc>
        <w:tc>
          <w:tcPr>
            <w:tcW w:w="919" w:type="dxa"/>
            <w:noWrap/>
          </w:tcPr>
          <w:p w14:paraId="6D671DAF" w14:textId="4AE3AC1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5,12%</w:t>
            </w:r>
          </w:p>
        </w:tc>
        <w:tc>
          <w:tcPr>
            <w:tcW w:w="1480" w:type="dxa"/>
            <w:noWrap/>
          </w:tcPr>
          <w:p w14:paraId="27EAB105" w14:textId="1B4E8D5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2,03%</w:t>
            </w:r>
          </w:p>
        </w:tc>
        <w:tc>
          <w:tcPr>
            <w:tcW w:w="1092" w:type="dxa"/>
            <w:noWrap/>
          </w:tcPr>
          <w:p w14:paraId="7195DCC3" w14:textId="2F90C39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0,88%</w:t>
            </w:r>
          </w:p>
        </w:tc>
        <w:tc>
          <w:tcPr>
            <w:tcW w:w="1134" w:type="dxa"/>
            <w:noWrap/>
          </w:tcPr>
          <w:p w14:paraId="1D431DC7" w14:textId="5FABEC7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0,05%</w:t>
            </w:r>
          </w:p>
        </w:tc>
        <w:tc>
          <w:tcPr>
            <w:tcW w:w="894" w:type="dxa"/>
            <w:noWrap/>
          </w:tcPr>
          <w:p w14:paraId="32DA155D" w14:textId="619B7A0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2,02%</w:t>
            </w:r>
          </w:p>
        </w:tc>
        <w:tc>
          <w:tcPr>
            <w:tcW w:w="892" w:type="dxa"/>
            <w:noWrap/>
          </w:tcPr>
          <w:p w14:paraId="737261DB" w14:textId="24A6495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0,14%</w:t>
            </w:r>
          </w:p>
        </w:tc>
        <w:tc>
          <w:tcPr>
            <w:tcW w:w="813" w:type="dxa"/>
            <w:noWrap/>
          </w:tcPr>
          <w:p w14:paraId="0620FCEF" w14:textId="0C98FF4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2CE904A5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AB888DF" w14:textId="425EF467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 xml:space="preserve">IwBank </w:t>
            </w:r>
          </w:p>
        </w:tc>
        <w:tc>
          <w:tcPr>
            <w:tcW w:w="919" w:type="dxa"/>
            <w:noWrap/>
          </w:tcPr>
          <w:p w14:paraId="7467B70A" w14:textId="1A58A22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4,73%</w:t>
            </w:r>
          </w:p>
        </w:tc>
        <w:tc>
          <w:tcPr>
            <w:tcW w:w="1480" w:type="dxa"/>
            <w:noWrap/>
          </w:tcPr>
          <w:p w14:paraId="49E5E747" w14:textId="55510B8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1,91%</w:t>
            </w:r>
          </w:p>
        </w:tc>
        <w:tc>
          <w:tcPr>
            <w:tcW w:w="1092" w:type="dxa"/>
            <w:noWrap/>
          </w:tcPr>
          <w:p w14:paraId="13E67752" w14:textId="2133383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0,78%</w:t>
            </w:r>
          </w:p>
        </w:tc>
        <w:tc>
          <w:tcPr>
            <w:tcW w:w="1134" w:type="dxa"/>
            <w:noWrap/>
          </w:tcPr>
          <w:p w14:paraId="0B7C472E" w14:textId="44FF91F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894" w:type="dxa"/>
            <w:noWrap/>
          </w:tcPr>
          <w:p w14:paraId="39C360A4" w14:textId="1B8F3BE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2,02%</w:t>
            </w:r>
          </w:p>
        </w:tc>
        <w:tc>
          <w:tcPr>
            <w:tcW w:w="892" w:type="dxa"/>
            <w:noWrap/>
          </w:tcPr>
          <w:p w14:paraId="175F3E82" w14:textId="60F99C8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13" w:type="dxa"/>
            <w:noWrap/>
          </w:tcPr>
          <w:p w14:paraId="3BEDCD48" w14:textId="648544A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1D966254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263FE58" w14:textId="4FD2FC2B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Nexi</w:t>
            </w:r>
          </w:p>
        </w:tc>
        <w:tc>
          <w:tcPr>
            <w:tcW w:w="919" w:type="dxa"/>
            <w:noWrap/>
          </w:tcPr>
          <w:p w14:paraId="5121259F" w14:textId="62F5D24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3,99%</w:t>
            </w:r>
          </w:p>
        </w:tc>
        <w:tc>
          <w:tcPr>
            <w:tcW w:w="1480" w:type="dxa"/>
            <w:noWrap/>
          </w:tcPr>
          <w:p w14:paraId="7FAD32AE" w14:textId="0B920B8D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2,52%</w:t>
            </w:r>
          </w:p>
        </w:tc>
        <w:tc>
          <w:tcPr>
            <w:tcW w:w="1092" w:type="dxa"/>
            <w:noWrap/>
          </w:tcPr>
          <w:p w14:paraId="327E3FF6" w14:textId="7CD1D47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0,39%</w:t>
            </w:r>
          </w:p>
        </w:tc>
        <w:tc>
          <w:tcPr>
            <w:tcW w:w="1134" w:type="dxa"/>
            <w:noWrap/>
          </w:tcPr>
          <w:p w14:paraId="306898DC" w14:textId="18D00A6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894" w:type="dxa"/>
            <w:noWrap/>
          </w:tcPr>
          <w:p w14:paraId="37BCF741" w14:textId="002C0E5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0,66%</w:t>
            </w:r>
          </w:p>
        </w:tc>
        <w:tc>
          <w:tcPr>
            <w:tcW w:w="892" w:type="dxa"/>
            <w:noWrap/>
          </w:tcPr>
          <w:p w14:paraId="67664F74" w14:textId="352E582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0,41%</w:t>
            </w:r>
          </w:p>
        </w:tc>
        <w:tc>
          <w:tcPr>
            <w:tcW w:w="813" w:type="dxa"/>
            <w:noWrap/>
          </w:tcPr>
          <w:p w14:paraId="5B0302FC" w14:textId="67A7343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1C8BCF52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D46EFC2" w14:textId="6C20D4E9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Aletti</w:t>
            </w:r>
          </w:p>
        </w:tc>
        <w:tc>
          <w:tcPr>
            <w:tcW w:w="919" w:type="dxa"/>
            <w:noWrap/>
          </w:tcPr>
          <w:p w14:paraId="1568A4A5" w14:textId="4DF7928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3,69%</w:t>
            </w:r>
          </w:p>
        </w:tc>
        <w:tc>
          <w:tcPr>
            <w:tcW w:w="1480" w:type="dxa"/>
            <w:noWrap/>
          </w:tcPr>
          <w:p w14:paraId="6A810623" w14:textId="2DBD112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2,12%</w:t>
            </w:r>
          </w:p>
        </w:tc>
        <w:tc>
          <w:tcPr>
            <w:tcW w:w="1092" w:type="dxa"/>
            <w:noWrap/>
          </w:tcPr>
          <w:p w14:paraId="72D54F65" w14:textId="49488D7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0,61%</w:t>
            </w:r>
          </w:p>
        </w:tc>
        <w:tc>
          <w:tcPr>
            <w:tcW w:w="1134" w:type="dxa"/>
            <w:noWrap/>
          </w:tcPr>
          <w:p w14:paraId="7C53B7FE" w14:textId="7F66F45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894" w:type="dxa"/>
            <w:noWrap/>
          </w:tcPr>
          <w:p w14:paraId="32C69777" w14:textId="2BB810E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0,63%</w:t>
            </w:r>
          </w:p>
        </w:tc>
        <w:tc>
          <w:tcPr>
            <w:tcW w:w="892" w:type="dxa"/>
            <w:noWrap/>
          </w:tcPr>
          <w:p w14:paraId="07AD8461" w14:textId="4F6D7EC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0,31%</w:t>
            </w:r>
          </w:p>
        </w:tc>
        <w:tc>
          <w:tcPr>
            <w:tcW w:w="813" w:type="dxa"/>
            <w:noWrap/>
          </w:tcPr>
          <w:p w14:paraId="26BC300B" w14:textId="148B571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3EEAD9D7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A9D2E8B" w14:textId="4294DFF0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MPS Capital Services</w:t>
            </w:r>
          </w:p>
        </w:tc>
        <w:tc>
          <w:tcPr>
            <w:tcW w:w="919" w:type="dxa"/>
            <w:noWrap/>
          </w:tcPr>
          <w:p w14:paraId="3B0F555A" w14:textId="36A4903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3,65%</w:t>
            </w:r>
          </w:p>
        </w:tc>
        <w:tc>
          <w:tcPr>
            <w:tcW w:w="1480" w:type="dxa"/>
            <w:noWrap/>
          </w:tcPr>
          <w:p w14:paraId="564A22C7" w14:textId="623DB9F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1,28%</w:t>
            </w:r>
          </w:p>
        </w:tc>
        <w:tc>
          <w:tcPr>
            <w:tcW w:w="1092" w:type="dxa"/>
            <w:noWrap/>
          </w:tcPr>
          <w:p w14:paraId="75251843" w14:textId="75132738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0,54%</w:t>
            </w:r>
          </w:p>
        </w:tc>
        <w:tc>
          <w:tcPr>
            <w:tcW w:w="1134" w:type="dxa"/>
            <w:noWrap/>
          </w:tcPr>
          <w:p w14:paraId="2B20B8BA" w14:textId="7AD472E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4" w:type="dxa"/>
            <w:noWrap/>
          </w:tcPr>
          <w:p w14:paraId="215B911D" w14:textId="4349B10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1,09%</w:t>
            </w:r>
          </w:p>
        </w:tc>
        <w:tc>
          <w:tcPr>
            <w:tcW w:w="892" w:type="dxa"/>
            <w:noWrap/>
          </w:tcPr>
          <w:p w14:paraId="50DABB55" w14:textId="7D187B8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0,07%</w:t>
            </w:r>
          </w:p>
        </w:tc>
        <w:tc>
          <w:tcPr>
            <w:tcW w:w="813" w:type="dxa"/>
            <w:noWrap/>
          </w:tcPr>
          <w:p w14:paraId="725195C0" w14:textId="2F4705A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0,65%</w:t>
            </w:r>
          </w:p>
        </w:tc>
      </w:tr>
      <w:tr w:rsidR="008A7995" w:rsidRPr="00065720" w14:paraId="5430127D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2B3E6F2" w14:textId="645FC63D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Iccrea Banca</w:t>
            </w:r>
          </w:p>
        </w:tc>
        <w:tc>
          <w:tcPr>
            <w:tcW w:w="919" w:type="dxa"/>
            <w:noWrap/>
          </w:tcPr>
          <w:p w14:paraId="5AAFA396" w14:textId="52B02F2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3,26%</w:t>
            </w:r>
          </w:p>
        </w:tc>
        <w:tc>
          <w:tcPr>
            <w:tcW w:w="1480" w:type="dxa"/>
            <w:noWrap/>
          </w:tcPr>
          <w:p w14:paraId="1F238AE2" w14:textId="4C0CFAE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2,04%</w:t>
            </w:r>
          </w:p>
        </w:tc>
        <w:tc>
          <w:tcPr>
            <w:tcW w:w="1092" w:type="dxa"/>
            <w:noWrap/>
          </w:tcPr>
          <w:p w14:paraId="3193CE54" w14:textId="29032C3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0,28%</w:t>
            </w:r>
          </w:p>
        </w:tc>
        <w:tc>
          <w:tcPr>
            <w:tcW w:w="1134" w:type="dxa"/>
            <w:noWrap/>
          </w:tcPr>
          <w:p w14:paraId="0E5F3846" w14:textId="79C3225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75FE7B0A" w14:textId="4E08B1C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0,39%</w:t>
            </w:r>
          </w:p>
        </w:tc>
        <w:tc>
          <w:tcPr>
            <w:tcW w:w="892" w:type="dxa"/>
            <w:noWrap/>
          </w:tcPr>
          <w:p w14:paraId="3EC335E1" w14:textId="3E99013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0,55%</w:t>
            </w:r>
          </w:p>
        </w:tc>
        <w:tc>
          <w:tcPr>
            <w:tcW w:w="813" w:type="dxa"/>
            <w:noWrap/>
          </w:tcPr>
          <w:p w14:paraId="61F6CD55" w14:textId="40989B7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D24A2E4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534232BB" w14:textId="4944FA03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Intermonte SIM</w:t>
            </w:r>
          </w:p>
        </w:tc>
        <w:tc>
          <w:tcPr>
            <w:tcW w:w="919" w:type="dxa"/>
            <w:noWrap/>
          </w:tcPr>
          <w:p w14:paraId="2DA10A4C" w14:textId="0ED0D10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3,19%</w:t>
            </w:r>
          </w:p>
        </w:tc>
        <w:tc>
          <w:tcPr>
            <w:tcW w:w="1480" w:type="dxa"/>
            <w:noWrap/>
          </w:tcPr>
          <w:p w14:paraId="1614E1B3" w14:textId="7BF0EEC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2,16%</w:t>
            </w:r>
          </w:p>
        </w:tc>
        <w:tc>
          <w:tcPr>
            <w:tcW w:w="1092" w:type="dxa"/>
            <w:noWrap/>
          </w:tcPr>
          <w:p w14:paraId="3A234C92" w14:textId="65047F2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0,17%</w:t>
            </w:r>
          </w:p>
        </w:tc>
        <w:tc>
          <w:tcPr>
            <w:tcW w:w="1134" w:type="dxa"/>
            <w:noWrap/>
          </w:tcPr>
          <w:p w14:paraId="773D4DE2" w14:textId="788F3D4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0,03%</w:t>
            </w:r>
          </w:p>
        </w:tc>
        <w:tc>
          <w:tcPr>
            <w:tcW w:w="894" w:type="dxa"/>
            <w:noWrap/>
          </w:tcPr>
          <w:p w14:paraId="05E1D6EF" w14:textId="2A2FCB6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0,83%</w:t>
            </w:r>
          </w:p>
        </w:tc>
        <w:tc>
          <w:tcPr>
            <w:tcW w:w="892" w:type="dxa"/>
            <w:noWrap/>
          </w:tcPr>
          <w:p w14:paraId="43FF3DCE" w14:textId="2D4644D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31F2DD68" w14:textId="39901D9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658EC641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189E2F1" w14:textId="7638157C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UBI Banca</w:t>
            </w:r>
          </w:p>
        </w:tc>
        <w:tc>
          <w:tcPr>
            <w:tcW w:w="919" w:type="dxa"/>
            <w:noWrap/>
          </w:tcPr>
          <w:p w14:paraId="71D3F06B" w14:textId="069A0D6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2,59%</w:t>
            </w:r>
          </w:p>
        </w:tc>
        <w:tc>
          <w:tcPr>
            <w:tcW w:w="1480" w:type="dxa"/>
            <w:noWrap/>
          </w:tcPr>
          <w:p w14:paraId="6ABB33E7" w14:textId="5F00CEA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2,00%</w:t>
            </w:r>
          </w:p>
        </w:tc>
        <w:tc>
          <w:tcPr>
            <w:tcW w:w="1092" w:type="dxa"/>
            <w:noWrap/>
          </w:tcPr>
          <w:p w14:paraId="2AC308A6" w14:textId="3D03E8C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0,35%</w:t>
            </w:r>
          </w:p>
        </w:tc>
        <w:tc>
          <w:tcPr>
            <w:tcW w:w="1134" w:type="dxa"/>
            <w:noWrap/>
          </w:tcPr>
          <w:p w14:paraId="172F9915" w14:textId="5A050E0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181066C4" w14:textId="0EF7FB3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0,23%</w:t>
            </w:r>
          </w:p>
        </w:tc>
        <w:tc>
          <w:tcPr>
            <w:tcW w:w="892" w:type="dxa"/>
            <w:noWrap/>
          </w:tcPr>
          <w:p w14:paraId="48432027" w14:textId="7BCAB13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23565CA" w14:textId="68CBCDA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ABF4C04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1589D95" w14:textId="609D326D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Credem</w:t>
            </w:r>
          </w:p>
        </w:tc>
        <w:tc>
          <w:tcPr>
            <w:tcW w:w="919" w:type="dxa"/>
            <w:noWrap/>
          </w:tcPr>
          <w:p w14:paraId="2FA21B2C" w14:textId="5A6C0F5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0,85%</w:t>
            </w:r>
          </w:p>
        </w:tc>
        <w:tc>
          <w:tcPr>
            <w:tcW w:w="1480" w:type="dxa"/>
            <w:noWrap/>
          </w:tcPr>
          <w:p w14:paraId="78F929BE" w14:textId="7E95719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0,57%</w:t>
            </w:r>
          </w:p>
        </w:tc>
        <w:tc>
          <w:tcPr>
            <w:tcW w:w="1092" w:type="dxa"/>
            <w:noWrap/>
          </w:tcPr>
          <w:p w14:paraId="09C35829" w14:textId="4632B64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0,18%</w:t>
            </w:r>
          </w:p>
        </w:tc>
        <w:tc>
          <w:tcPr>
            <w:tcW w:w="1134" w:type="dxa"/>
            <w:noWrap/>
          </w:tcPr>
          <w:p w14:paraId="2619D35F" w14:textId="228752C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47CE9903" w14:textId="3C80653B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0,09%</w:t>
            </w:r>
          </w:p>
        </w:tc>
        <w:tc>
          <w:tcPr>
            <w:tcW w:w="892" w:type="dxa"/>
            <w:noWrap/>
          </w:tcPr>
          <w:p w14:paraId="5BD0D617" w14:textId="29FE243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75B20D90" w14:textId="6D9E129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699F09D8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7D4154A" w14:textId="09A46D85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Equita SIM</w:t>
            </w:r>
          </w:p>
        </w:tc>
        <w:tc>
          <w:tcPr>
            <w:tcW w:w="919" w:type="dxa"/>
            <w:noWrap/>
          </w:tcPr>
          <w:p w14:paraId="0E417793" w14:textId="24B84B5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0,81%</w:t>
            </w:r>
          </w:p>
        </w:tc>
        <w:tc>
          <w:tcPr>
            <w:tcW w:w="1480" w:type="dxa"/>
            <w:noWrap/>
          </w:tcPr>
          <w:p w14:paraId="00950505" w14:textId="4D2F50A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0,50%</w:t>
            </w:r>
          </w:p>
        </w:tc>
        <w:tc>
          <w:tcPr>
            <w:tcW w:w="1092" w:type="dxa"/>
            <w:noWrap/>
          </w:tcPr>
          <w:p w14:paraId="6FEE3049" w14:textId="2B36D14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0,22%</w:t>
            </w:r>
          </w:p>
        </w:tc>
        <w:tc>
          <w:tcPr>
            <w:tcW w:w="1134" w:type="dxa"/>
            <w:noWrap/>
          </w:tcPr>
          <w:p w14:paraId="1FBF4574" w14:textId="7107F8E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4" w:type="dxa"/>
            <w:noWrap/>
          </w:tcPr>
          <w:p w14:paraId="07D82592" w14:textId="59E544E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0,06%</w:t>
            </w:r>
          </w:p>
        </w:tc>
        <w:tc>
          <w:tcPr>
            <w:tcW w:w="892" w:type="dxa"/>
            <w:noWrap/>
          </w:tcPr>
          <w:p w14:paraId="0A260EE2" w14:textId="4B925E8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0,03%</w:t>
            </w:r>
          </w:p>
        </w:tc>
        <w:tc>
          <w:tcPr>
            <w:tcW w:w="813" w:type="dxa"/>
            <w:noWrap/>
          </w:tcPr>
          <w:p w14:paraId="7115BA75" w14:textId="643BA27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FBBEBAE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549A0AD" w14:textId="040A4CB4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Generali</w:t>
            </w:r>
          </w:p>
        </w:tc>
        <w:tc>
          <w:tcPr>
            <w:tcW w:w="919" w:type="dxa"/>
            <w:noWrap/>
          </w:tcPr>
          <w:p w14:paraId="44A5D454" w14:textId="4940B1B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0,73%</w:t>
            </w:r>
          </w:p>
        </w:tc>
        <w:tc>
          <w:tcPr>
            <w:tcW w:w="1480" w:type="dxa"/>
            <w:noWrap/>
          </w:tcPr>
          <w:p w14:paraId="28CF7F4C" w14:textId="51ED8E9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0,37%</w:t>
            </w:r>
          </w:p>
        </w:tc>
        <w:tc>
          <w:tcPr>
            <w:tcW w:w="1092" w:type="dxa"/>
            <w:noWrap/>
          </w:tcPr>
          <w:p w14:paraId="3B5345D9" w14:textId="2183448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0,14%</w:t>
            </w:r>
          </w:p>
        </w:tc>
        <w:tc>
          <w:tcPr>
            <w:tcW w:w="1134" w:type="dxa"/>
            <w:noWrap/>
          </w:tcPr>
          <w:p w14:paraId="04AB7B5D" w14:textId="43E84EC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41A856FB" w14:textId="4221EA9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0,21%</w:t>
            </w:r>
          </w:p>
        </w:tc>
        <w:tc>
          <w:tcPr>
            <w:tcW w:w="892" w:type="dxa"/>
            <w:noWrap/>
          </w:tcPr>
          <w:p w14:paraId="721DBDDD" w14:textId="15BF13B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7A09A996" w14:textId="5ED47BE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4C02AF4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74D6CB8" w14:textId="1A2D5083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Directa SIM</w:t>
            </w:r>
          </w:p>
        </w:tc>
        <w:tc>
          <w:tcPr>
            <w:tcW w:w="919" w:type="dxa"/>
            <w:noWrap/>
          </w:tcPr>
          <w:p w14:paraId="0050A803" w14:textId="2A30E68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0,71%</w:t>
            </w:r>
          </w:p>
        </w:tc>
        <w:tc>
          <w:tcPr>
            <w:tcW w:w="1480" w:type="dxa"/>
            <w:noWrap/>
          </w:tcPr>
          <w:p w14:paraId="314A3469" w14:textId="31090D8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0,47%</w:t>
            </w:r>
          </w:p>
        </w:tc>
        <w:tc>
          <w:tcPr>
            <w:tcW w:w="1092" w:type="dxa"/>
            <w:noWrap/>
          </w:tcPr>
          <w:p w14:paraId="06C97844" w14:textId="4357F1B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1134" w:type="dxa"/>
            <w:noWrap/>
          </w:tcPr>
          <w:p w14:paraId="7A177B94" w14:textId="1FE1E4BC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71ECC36A" w14:textId="3810CA8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0,21%</w:t>
            </w:r>
          </w:p>
        </w:tc>
        <w:tc>
          <w:tcPr>
            <w:tcW w:w="892" w:type="dxa"/>
            <w:noWrap/>
          </w:tcPr>
          <w:p w14:paraId="2311B405" w14:textId="5E650C6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7933D6B1" w14:textId="18A15FF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27134D75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B3CA6C8" w14:textId="57767121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Mediobanca</w:t>
            </w:r>
          </w:p>
        </w:tc>
        <w:tc>
          <w:tcPr>
            <w:tcW w:w="919" w:type="dxa"/>
            <w:noWrap/>
          </w:tcPr>
          <w:p w14:paraId="10D74630" w14:textId="77375D4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0,66%</w:t>
            </w:r>
          </w:p>
        </w:tc>
        <w:tc>
          <w:tcPr>
            <w:tcW w:w="1480" w:type="dxa"/>
            <w:noWrap/>
          </w:tcPr>
          <w:p w14:paraId="2DAC58E9" w14:textId="2202A01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0,35%</w:t>
            </w:r>
          </w:p>
        </w:tc>
        <w:tc>
          <w:tcPr>
            <w:tcW w:w="1092" w:type="dxa"/>
            <w:noWrap/>
          </w:tcPr>
          <w:p w14:paraId="47DBA255" w14:textId="59C4AC2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0,12%</w:t>
            </w:r>
          </w:p>
        </w:tc>
        <w:tc>
          <w:tcPr>
            <w:tcW w:w="1134" w:type="dxa"/>
            <w:noWrap/>
          </w:tcPr>
          <w:p w14:paraId="4FEF7FDA" w14:textId="690E5D6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3208BA65" w14:textId="6721A8C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0,19%</w:t>
            </w:r>
          </w:p>
        </w:tc>
        <w:tc>
          <w:tcPr>
            <w:tcW w:w="892" w:type="dxa"/>
            <w:noWrap/>
          </w:tcPr>
          <w:p w14:paraId="13E37342" w14:textId="6598D37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17C97828" w14:textId="01EBA94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498F6585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A8F3A73" w14:textId="75DEDA06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Intermobiliare</w:t>
            </w:r>
          </w:p>
        </w:tc>
        <w:tc>
          <w:tcPr>
            <w:tcW w:w="919" w:type="dxa"/>
            <w:noWrap/>
          </w:tcPr>
          <w:p w14:paraId="53C2296A" w14:textId="1153F5B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0,33%</w:t>
            </w:r>
          </w:p>
        </w:tc>
        <w:tc>
          <w:tcPr>
            <w:tcW w:w="1480" w:type="dxa"/>
            <w:noWrap/>
          </w:tcPr>
          <w:p w14:paraId="5ABBA6F7" w14:textId="5D0736A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0,15%</w:t>
            </w:r>
          </w:p>
        </w:tc>
        <w:tc>
          <w:tcPr>
            <w:tcW w:w="1092" w:type="dxa"/>
            <w:noWrap/>
          </w:tcPr>
          <w:p w14:paraId="6C013B4D" w14:textId="78C8096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0,07%</w:t>
            </w:r>
          </w:p>
        </w:tc>
        <w:tc>
          <w:tcPr>
            <w:tcW w:w="1134" w:type="dxa"/>
            <w:noWrap/>
          </w:tcPr>
          <w:p w14:paraId="064CF68E" w14:textId="2D1D3D0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0,01%</w:t>
            </w:r>
          </w:p>
        </w:tc>
        <w:tc>
          <w:tcPr>
            <w:tcW w:w="894" w:type="dxa"/>
            <w:noWrap/>
          </w:tcPr>
          <w:p w14:paraId="519B698C" w14:textId="55BB57E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0,10%</w:t>
            </w:r>
          </w:p>
        </w:tc>
        <w:tc>
          <w:tcPr>
            <w:tcW w:w="892" w:type="dxa"/>
            <w:noWrap/>
          </w:tcPr>
          <w:p w14:paraId="522CF008" w14:textId="0F28771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13" w:type="dxa"/>
            <w:noWrap/>
          </w:tcPr>
          <w:p w14:paraId="21014A62" w14:textId="48C8D54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BB7C94C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D3689F1" w14:textId="015F0C9F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Finnat Euramerica</w:t>
            </w:r>
          </w:p>
        </w:tc>
        <w:tc>
          <w:tcPr>
            <w:tcW w:w="919" w:type="dxa"/>
            <w:noWrap/>
          </w:tcPr>
          <w:p w14:paraId="5056A83C" w14:textId="1E6D60F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0,14%</w:t>
            </w:r>
          </w:p>
        </w:tc>
        <w:tc>
          <w:tcPr>
            <w:tcW w:w="1480" w:type="dxa"/>
            <w:noWrap/>
          </w:tcPr>
          <w:p w14:paraId="2780DCCA" w14:textId="652E5CC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0,12%</w:t>
            </w:r>
          </w:p>
        </w:tc>
        <w:tc>
          <w:tcPr>
            <w:tcW w:w="1092" w:type="dxa"/>
            <w:noWrap/>
          </w:tcPr>
          <w:p w14:paraId="15A306CE" w14:textId="3EAAA8E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1134" w:type="dxa"/>
            <w:noWrap/>
          </w:tcPr>
          <w:p w14:paraId="2A48C303" w14:textId="341E282B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4" w:type="dxa"/>
            <w:noWrap/>
          </w:tcPr>
          <w:p w14:paraId="446E0A14" w14:textId="054BDE1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4C857FC0" w14:textId="32F510C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3882C477" w14:textId="5BAA637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77A620EC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4B227B3" w14:textId="3673EDBA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Finsud SIM</w:t>
            </w:r>
          </w:p>
        </w:tc>
        <w:tc>
          <w:tcPr>
            <w:tcW w:w="919" w:type="dxa"/>
            <w:noWrap/>
          </w:tcPr>
          <w:p w14:paraId="61A9D59E" w14:textId="03F7BE5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0,10%</w:t>
            </w:r>
          </w:p>
        </w:tc>
        <w:tc>
          <w:tcPr>
            <w:tcW w:w="1480" w:type="dxa"/>
            <w:noWrap/>
          </w:tcPr>
          <w:p w14:paraId="4B74F533" w14:textId="524D8C0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0,10%</w:t>
            </w:r>
          </w:p>
        </w:tc>
        <w:tc>
          <w:tcPr>
            <w:tcW w:w="1092" w:type="dxa"/>
            <w:noWrap/>
          </w:tcPr>
          <w:p w14:paraId="60EF8775" w14:textId="60FFEE8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602C7CDA" w14:textId="556F18B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25BE9FDF" w14:textId="3EACC69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1D07FE56" w14:textId="7E90D9D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6B4F84A" w14:textId="32B62A2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474197D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3B49E91B" w14:textId="1873DABB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Ersel SIM</w:t>
            </w:r>
          </w:p>
        </w:tc>
        <w:tc>
          <w:tcPr>
            <w:tcW w:w="919" w:type="dxa"/>
            <w:noWrap/>
          </w:tcPr>
          <w:p w14:paraId="1D8095E4" w14:textId="04010D5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1480" w:type="dxa"/>
            <w:noWrap/>
          </w:tcPr>
          <w:p w14:paraId="69030093" w14:textId="376A33B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0,02%</w:t>
            </w:r>
          </w:p>
        </w:tc>
        <w:tc>
          <w:tcPr>
            <w:tcW w:w="1092" w:type="dxa"/>
            <w:noWrap/>
          </w:tcPr>
          <w:p w14:paraId="333A02CF" w14:textId="072CE95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538A9F42" w14:textId="22143CF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080C7B93" w14:textId="32C4B050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61ED6CA6" w14:textId="1601CE25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6C6E099F" w14:textId="117B681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03D7013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502ACA7" w14:textId="2F9AF4ED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UBS Ltd</w:t>
            </w:r>
          </w:p>
        </w:tc>
        <w:tc>
          <w:tcPr>
            <w:tcW w:w="919" w:type="dxa"/>
            <w:noWrap/>
          </w:tcPr>
          <w:p w14:paraId="52A626C8" w14:textId="004F2DF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4B2AB5A0" w14:textId="158EAE6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40869557" w14:textId="1DE8CDD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061BF8C2" w14:textId="7D73755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7A22EF42" w14:textId="78A3ADA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2" w:type="dxa"/>
            <w:noWrap/>
          </w:tcPr>
          <w:p w14:paraId="2941AD71" w14:textId="5E4E2E6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57A78245" w14:textId="465613D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6BCE44A1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0016F07" w14:textId="66B2FC64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Banca Leonardo</w:t>
            </w:r>
          </w:p>
        </w:tc>
        <w:tc>
          <w:tcPr>
            <w:tcW w:w="919" w:type="dxa"/>
            <w:noWrap/>
          </w:tcPr>
          <w:p w14:paraId="320D4F7D" w14:textId="3A48E337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43AF301F" w14:textId="1941823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092" w:type="dxa"/>
            <w:noWrap/>
          </w:tcPr>
          <w:p w14:paraId="32D5FA91" w14:textId="429D0C2C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55FA5654" w14:textId="516991D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7FCEC38E" w14:textId="6B7997E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3A312622" w14:textId="7856A11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0A90B076" w14:textId="6F445A9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F794B91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32BC34E" w14:textId="7B896F6D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Nuovi Investimenti SIM</w:t>
            </w:r>
          </w:p>
        </w:tc>
        <w:tc>
          <w:tcPr>
            <w:tcW w:w="919" w:type="dxa"/>
            <w:noWrap/>
          </w:tcPr>
          <w:p w14:paraId="20F07A0E" w14:textId="012DF5B1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44872215" w14:textId="2E283FFF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0F3365E9" w14:textId="1D04221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41D94CCC" w14:textId="5A0D2CCA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48640DF1" w14:textId="41E0E337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2" w:type="dxa"/>
            <w:noWrap/>
          </w:tcPr>
          <w:p w14:paraId="4177BC9A" w14:textId="5B373C20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13" w:type="dxa"/>
            <w:noWrap/>
          </w:tcPr>
          <w:p w14:paraId="298B48EC" w14:textId="2C53A51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39E500F4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4B54DE9B" w14:textId="3182604E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BPER</w:t>
            </w:r>
          </w:p>
        </w:tc>
        <w:tc>
          <w:tcPr>
            <w:tcW w:w="919" w:type="dxa"/>
            <w:noWrap/>
          </w:tcPr>
          <w:p w14:paraId="11ECAD7D" w14:textId="710A73A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3FC84B55" w14:textId="39031B9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092" w:type="dxa"/>
            <w:noWrap/>
          </w:tcPr>
          <w:p w14:paraId="01FEDB31" w14:textId="4747495A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134" w:type="dxa"/>
            <w:noWrap/>
          </w:tcPr>
          <w:p w14:paraId="292B9C14" w14:textId="14D5CA14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4" w:type="dxa"/>
            <w:noWrap/>
          </w:tcPr>
          <w:p w14:paraId="090F645E" w14:textId="68B62692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2" w:type="dxa"/>
            <w:noWrap/>
          </w:tcPr>
          <w:p w14:paraId="2E8A1E00" w14:textId="2E6E1B3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03ADB427" w14:textId="1FF0A47E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015DD211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216260BE" w14:textId="15F0965C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Morgan Stanley</w:t>
            </w:r>
          </w:p>
        </w:tc>
        <w:tc>
          <w:tcPr>
            <w:tcW w:w="919" w:type="dxa"/>
            <w:noWrap/>
          </w:tcPr>
          <w:p w14:paraId="5626132B" w14:textId="2EF2AFEB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0DBA30AA" w14:textId="2F538E0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092" w:type="dxa"/>
            <w:noWrap/>
          </w:tcPr>
          <w:p w14:paraId="3AE9ADA5" w14:textId="337CA392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134" w:type="dxa"/>
            <w:noWrap/>
          </w:tcPr>
          <w:p w14:paraId="31B75C26" w14:textId="467C1DFE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6256E309" w14:textId="4F9BE9A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2" w:type="dxa"/>
            <w:noWrap/>
          </w:tcPr>
          <w:p w14:paraId="3A50CA2E" w14:textId="5116C13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48690E7E" w14:textId="6DE34066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39C9A751" w14:textId="77777777" w:rsidTr="008130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75084EF" w14:textId="49C51233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>Societe Generale</w:t>
            </w:r>
          </w:p>
        </w:tc>
        <w:tc>
          <w:tcPr>
            <w:tcW w:w="919" w:type="dxa"/>
            <w:noWrap/>
          </w:tcPr>
          <w:p w14:paraId="3708857D" w14:textId="2B5EE4A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5CF5E862" w14:textId="7276138F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092" w:type="dxa"/>
            <w:noWrap/>
          </w:tcPr>
          <w:p w14:paraId="60E0E332" w14:textId="36D946B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134" w:type="dxa"/>
            <w:noWrap/>
          </w:tcPr>
          <w:p w14:paraId="2E78EF13" w14:textId="22978699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707873AE" w14:textId="4879C3F3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2" w:type="dxa"/>
            <w:noWrap/>
          </w:tcPr>
          <w:p w14:paraId="57FADADD" w14:textId="70FED8E1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4DAB257A" w14:textId="422A85F6" w:rsidR="008A7995" w:rsidRPr="00A769C6" w:rsidRDefault="008A7995" w:rsidP="008A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8A7995" w:rsidRPr="00065720" w14:paraId="5DD0663A" w14:textId="77777777" w:rsidTr="00813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08249AC8" w14:textId="28581302" w:rsidR="008A7995" w:rsidRPr="00A769C6" w:rsidRDefault="008A7995" w:rsidP="008A7995">
            <w:pPr>
              <w:rPr>
                <w:sz w:val="20"/>
                <w:szCs w:val="20"/>
              </w:rPr>
            </w:pPr>
            <w:r w:rsidRPr="00B96B14">
              <w:t xml:space="preserve">Deutsche Bank AG </w:t>
            </w:r>
          </w:p>
        </w:tc>
        <w:tc>
          <w:tcPr>
            <w:tcW w:w="919" w:type="dxa"/>
            <w:noWrap/>
          </w:tcPr>
          <w:p w14:paraId="7F52A1A6" w14:textId="025F1E58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1480" w:type="dxa"/>
            <w:noWrap/>
          </w:tcPr>
          <w:p w14:paraId="201069F3" w14:textId="592BF32D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092" w:type="dxa"/>
            <w:noWrap/>
          </w:tcPr>
          <w:p w14:paraId="30BD4082" w14:textId="061CE18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1134" w:type="dxa"/>
            <w:noWrap/>
          </w:tcPr>
          <w:p w14:paraId="67607BAA" w14:textId="2A134F95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94" w:type="dxa"/>
            <w:noWrap/>
          </w:tcPr>
          <w:p w14:paraId="7B750AB0" w14:textId="161BBA03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4A47">
              <w:t>0,00%</w:t>
            </w:r>
          </w:p>
        </w:tc>
        <w:tc>
          <w:tcPr>
            <w:tcW w:w="892" w:type="dxa"/>
            <w:noWrap/>
          </w:tcPr>
          <w:p w14:paraId="5427EB49" w14:textId="7BD32CA4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  <w:tc>
          <w:tcPr>
            <w:tcW w:w="813" w:type="dxa"/>
            <w:noWrap/>
          </w:tcPr>
          <w:p w14:paraId="1A7A3859" w14:textId="74620069" w:rsidR="008A7995" w:rsidRPr="00A769C6" w:rsidRDefault="008A7995" w:rsidP="008A7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N.O.</w:t>
            </w:r>
          </w:p>
        </w:tc>
      </w:tr>
      <w:tr w:rsidR="00FC1E8F" w:rsidRPr="00065720" w14:paraId="20BE1ECD" w14:textId="77777777" w:rsidTr="00AF18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1EEEAC3E" w14:textId="3471C554" w:rsidR="00FC1E8F" w:rsidRPr="00065720" w:rsidRDefault="00FC1E8F" w:rsidP="00FC1E8F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noWrap/>
          </w:tcPr>
          <w:p w14:paraId="455292F3" w14:textId="56D80F68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</w:tcPr>
          <w:p w14:paraId="0BDC589C" w14:textId="3B44BB73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</w:tcPr>
          <w:p w14:paraId="1F401478" w14:textId="6B79D09B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5DF11E" w14:textId="2862A5A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</w:tcPr>
          <w:p w14:paraId="46F80E93" w14:textId="38C2E89D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3553EEDA" w14:textId="58D32F1A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</w:tcPr>
          <w:p w14:paraId="6FFEE5AD" w14:textId="66FB7C0F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1E8F" w:rsidRPr="00065720" w14:paraId="6C9E7803" w14:textId="77777777" w:rsidTr="00AF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</w:tcPr>
          <w:p w14:paraId="652B962D" w14:textId="77777777" w:rsidR="00FC1E8F" w:rsidRPr="0039083E" w:rsidRDefault="00FC1E8F" w:rsidP="00FC1E8F">
            <w:pPr>
              <w:tabs>
                <w:tab w:val="left" w:pos="2340"/>
              </w:tabs>
            </w:pPr>
          </w:p>
        </w:tc>
        <w:tc>
          <w:tcPr>
            <w:tcW w:w="919" w:type="dxa"/>
            <w:noWrap/>
          </w:tcPr>
          <w:p w14:paraId="542D349B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</w:tcPr>
          <w:p w14:paraId="65480C9A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</w:tcPr>
          <w:p w14:paraId="1818582C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FB5CDC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</w:tcPr>
          <w:p w14:paraId="5E264BB2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7E32DB87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</w:tcPr>
          <w:p w14:paraId="001CD184" w14:textId="77777777" w:rsidR="00FC1E8F" w:rsidRPr="00065720" w:rsidRDefault="00FC1E8F" w:rsidP="00FC1E8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18EC" w:rsidRPr="00065720" w14:paraId="524E4A50" w14:textId="77777777" w:rsidTr="00A769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noWrap/>
            <w:hideMark/>
          </w:tcPr>
          <w:p w14:paraId="38B0692D" w14:textId="77777777" w:rsidR="00AF18EC" w:rsidRPr="00065720" w:rsidRDefault="00AF18EC" w:rsidP="00AF18EC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065720">
              <w:rPr>
                <w:sz w:val="20"/>
                <w:szCs w:val="20"/>
              </w:rPr>
              <w:t>ASSOSIM</w:t>
            </w:r>
          </w:p>
        </w:tc>
        <w:tc>
          <w:tcPr>
            <w:tcW w:w="919" w:type="dxa"/>
            <w:noWrap/>
            <w:vAlign w:val="center"/>
            <w:hideMark/>
          </w:tcPr>
          <w:p w14:paraId="62BFC0DB" w14:textId="1A7B08A2" w:rsidR="00AF18EC" w:rsidRPr="00A769C6" w:rsidRDefault="008A7995" w:rsidP="00A769C6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7995">
              <w:rPr>
                <w:b/>
                <w:sz w:val="20"/>
                <w:szCs w:val="20"/>
              </w:rPr>
              <w:t>99,58%</w:t>
            </w:r>
          </w:p>
        </w:tc>
        <w:tc>
          <w:tcPr>
            <w:tcW w:w="1480" w:type="dxa"/>
            <w:noWrap/>
            <w:hideMark/>
          </w:tcPr>
          <w:p w14:paraId="715685C5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1F56CC35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FE4C79F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14:paraId="66CB0BB5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168CFCA4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3" w:type="dxa"/>
            <w:noWrap/>
            <w:hideMark/>
          </w:tcPr>
          <w:p w14:paraId="39C4E9E8" w14:textId="77777777" w:rsidR="00AF18EC" w:rsidRPr="00065720" w:rsidRDefault="00AF18EC" w:rsidP="00AF18E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85C185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65DD8B8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  <w:r w:rsidRPr="00AF18EC">
        <w:t>Nota metodologica: La classifica BONDS è elaborata aggregando le operazioni eseguite in conto terzi dagli intermediari Associati sul mercato DomesticMOT, EuroMOT ed ExtraMOT gestito da Borsa Italiana e sugli MTF gestiti da Eurotlx Sim e Hi MTF Sim e con le operazioni internalizzate dagli intermediari italiani su strumenti finanziari diversi dalle azioni.</w:t>
      </w:r>
      <w:r w:rsidR="008705FC">
        <w:t xml:space="preserve"> (</w:t>
      </w:r>
      <w:r w:rsidR="008705FC">
        <w:rPr>
          <w:sz w:val="20"/>
          <w:szCs w:val="20"/>
        </w:rPr>
        <w:t>N.O. - NON OPERATIVA)</w:t>
      </w:r>
    </w:p>
    <w:p w14:paraId="194FD6AD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6EB576F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D85F3B9" w14:textId="6B9C613A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94AF144" w14:textId="77777777" w:rsidR="00FC1E8F" w:rsidRDefault="00FC1E8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6E3D51B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D731890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1F8017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681AC0E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7B24352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CCD5709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C90E197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D2B3837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E18986F" w14:textId="77777777" w:rsidR="00EE6678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09C96F2" w14:textId="77777777" w:rsidR="00EE6678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257735F" w14:textId="77777777" w:rsidR="00EE6678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FF1B27E" w14:textId="77777777" w:rsidR="00EE6678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6596CD8" w14:textId="77777777" w:rsidR="00EE6678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B16D31" w14:textId="77777777" w:rsidR="00EE6678" w:rsidRPr="00AF18EC" w:rsidRDefault="00EE667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4B6B8A7" w14:textId="77777777" w:rsidR="00F85D74" w:rsidRPr="00EE6678" w:rsidRDefault="00F85D74" w:rsidP="00F85D74">
      <w:pPr>
        <w:tabs>
          <w:tab w:val="left" w:pos="2340"/>
        </w:tabs>
        <w:jc w:val="center"/>
        <w:rPr>
          <w:sz w:val="36"/>
          <w:szCs w:val="36"/>
        </w:rPr>
      </w:pPr>
      <w:r w:rsidRPr="00EE6678">
        <w:rPr>
          <w:b/>
          <w:bCs/>
          <w:color w:val="4F81BD" w:themeColor="accent1"/>
          <w:sz w:val="36"/>
          <w:szCs w:val="36"/>
        </w:rPr>
        <w:t>INDICE</w:t>
      </w:r>
    </w:p>
    <w:p w14:paraId="20D6E64A" w14:textId="77777777" w:rsidR="00F85D74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E16918">
        <w:rPr>
          <w:b/>
          <w:bCs/>
          <w:color w:val="4F81BD" w:themeColor="accent1"/>
        </w:rPr>
        <w:t>ALLEGATO 1 C</w:t>
      </w:r>
      <w:r w:rsidR="002627EF" w:rsidRPr="00E16918">
        <w:rPr>
          <w:b/>
          <w:bCs/>
          <w:color w:val="4F81BD" w:themeColor="accent1"/>
        </w:rPr>
        <w:t>LA</w:t>
      </w:r>
      <w:r w:rsidRPr="00E16918">
        <w:rPr>
          <w:b/>
          <w:bCs/>
          <w:color w:val="4F81BD" w:themeColor="accent1"/>
        </w:rPr>
        <w:t>SSIFICHE CONTROVALORI NEGOZIATI CONTO TERZI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8</w:t>
      </w:r>
    </w:p>
    <w:p w14:paraId="6F4D7607" w14:textId="77777777" w:rsidR="00055E97" w:rsidRDefault="00055E97" w:rsidP="00055E97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BORSA ITALIANA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9</w:t>
      </w:r>
    </w:p>
    <w:p w14:paraId="09B5DFE2" w14:textId="77777777" w:rsidR="00055E97" w:rsidRDefault="00055E97" w:rsidP="00055E97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EUROTLX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 w:rsidR="00E16918">
        <w:rPr>
          <w:bCs/>
          <w:color w:val="4F81BD" w:themeColor="accent1"/>
        </w:rPr>
        <w:t>Pag.</w:t>
      </w:r>
      <w:r w:rsidR="00E16918">
        <w:rPr>
          <w:bCs/>
          <w:color w:val="4F81BD" w:themeColor="accent1"/>
        </w:rPr>
        <w:tab/>
        <w:t>20</w:t>
      </w:r>
    </w:p>
    <w:p w14:paraId="215AA5F6" w14:textId="77777777" w:rsidR="00E16918" w:rsidRDefault="00E16918" w:rsidP="00055E97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HIMTF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21</w:t>
      </w:r>
    </w:p>
    <w:p w14:paraId="13E06FB7" w14:textId="552D2736" w:rsidR="00E16918" w:rsidRPr="00FC5FD0" w:rsidRDefault="00E16918" w:rsidP="00055E97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EQUIDUCT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2</w:t>
      </w:r>
      <w:r w:rsidR="00067E81">
        <w:rPr>
          <w:bCs/>
          <w:color w:val="4F81BD" w:themeColor="accent1"/>
        </w:rPr>
        <w:t>2</w:t>
      </w:r>
    </w:p>
    <w:p w14:paraId="242A7189" w14:textId="249E56CD" w:rsidR="00F85D74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E16918">
        <w:rPr>
          <w:b/>
          <w:bCs/>
          <w:color w:val="4F81BD" w:themeColor="accent1"/>
        </w:rPr>
        <w:t xml:space="preserve">ALLEGATO 2 </w:t>
      </w:r>
      <w:r w:rsidR="002627EF" w:rsidRPr="00E16918">
        <w:rPr>
          <w:b/>
          <w:bCs/>
          <w:color w:val="4F81BD" w:themeColor="accent1"/>
        </w:rPr>
        <w:t>CLASSIFICHE</w:t>
      </w:r>
      <w:r w:rsidRPr="00E16918">
        <w:rPr>
          <w:b/>
          <w:bCs/>
          <w:color w:val="4F81BD" w:themeColor="accent1"/>
        </w:rPr>
        <w:t xml:space="preserve"> CONTROVALORI NEGOZIATI CONTO PRORPIO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2</w:t>
      </w:r>
      <w:r w:rsidR="00067E81">
        <w:rPr>
          <w:bCs/>
          <w:color w:val="4F81BD" w:themeColor="accent1"/>
        </w:rPr>
        <w:t>3</w:t>
      </w:r>
    </w:p>
    <w:p w14:paraId="0B525523" w14:textId="5315779E" w:rsidR="00E16918" w:rsidRPr="00FC5FD0" w:rsidRDefault="00E16918" w:rsidP="00E16918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BORSA ITALIANA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2</w:t>
      </w:r>
      <w:r w:rsidR="00067E81">
        <w:rPr>
          <w:bCs/>
          <w:color w:val="4F81BD" w:themeColor="accent1"/>
        </w:rPr>
        <w:t>4</w:t>
      </w:r>
    </w:p>
    <w:p w14:paraId="7098D450" w14:textId="651CDDE9" w:rsidR="00F85D74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E16918">
        <w:rPr>
          <w:b/>
          <w:bCs/>
          <w:color w:val="4F81BD" w:themeColor="accent1"/>
        </w:rPr>
        <w:t xml:space="preserve">ALLEGATO 3 </w:t>
      </w:r>
      <w:r w:rsidR="002627EF" w:rsidRPr="00E16918">
        <w:rPr>
          <w:b/>
          <w:bCs/>
          <w:color w:val="4F81BD" w:themeColor="accent1"/>
        </w:rPr>
        <w:t>CLASSIFICHE</w:t>
      </w:r>
      <w:r w:rsidRPr="00E16918">
        <w:rPr>
          <w:b/>
          <w:bCs/>
          <w:color w:val="4F81BD" w:themeColor="accent1"/>
        </w:rPr>
        <w:t xml:space="preserve"> CONTROVALORI TOTALI NEGOZIATI</w:t>
      </w:r>
      <w:r w:rsidRPr="00E16918">
        <w:rPr>
          <w:b/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3</w:t>
      </w:r>
      <w:r w:rsidR="00067E81">
        <w:rPr>
          <w:bCs/>
          <w:color w:val="4F81BD" w:themeColor="accent1"/>
        </w:rPr>
        <w:t>5</w:t>
      </w:r>
    </w:p>
    <w:p w14:paraId="3215EE89" w14:textId="3A0B48D5" w:rsidR="00E16918" w:rsidRPr="00FC5FD0" w:rsidRDefault="00E16918" w:rsidP="00E16918">
      <w:pPr>
        <w:spacing w:after="0"/>
        <w:ind w:firstLine="708"/>
        <w:rPr>
          <w:bCs/>
          <w:color w:val="4F81BD" w:themeColor="accent1"/>
        </w:rPr>
      </w:pPr>
      <w:r>
        <w:rPr>
          <w:bCs/>
          <w:color w:val="4F81BD" w:themeColor="accent1"/>
        </w:rPr>
        <w:t>BORSA ITALIANA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3</w:t>
      </w:r>
      <w:r w:rsidR="00067E81">
        <w:rPr>
          <w:bCs/>
          <w:color w:val="4F81BD" w:themeColor="accent1"/>
        </w:rPr>
        <w:t>6</w:t>
      </w:r>
    </w:p>
    <w:p w14:paraId="0E6CBFC9" w14:textId="2120EE3E" w:rsidR="00F85D74" w:rsidRDefault="00F85D74" w:rsidP="009E32B8">
      <w:pPr>
        <w:tabs>
          <w:tab w:val="left" w:pos="2340"/>
        </w:tabs>
        <w:spacing w:after="0"/>
        <w:jc w:val="both"/>
        <w:rPr>
          <w:bCs/>
          <w:color w:val="4F81BD" w:themeColor="accent1"/>
        </w:rPr>
      </w:pPr>
      <w:r w:rsidRPr="00E16918">
        <w:rPr>
          <w:b/>
          <w:bCs/>
          <w:color w:val="4F81BD" w:themeColor="accent1"/>
        </w:rPr>
        <w:t xml:space="preserve">ALLEGATO 4 </w:t>
      </w:r>
      <w:r w:rsidR="002627EF" w:rsidRPr="00E16918">
        <w:rPr>
          <w:b/>
          <w:bCs/>
          <w:color w:val="4F81BD" w:themeColor="accent1"/>
        </w:rPr>
        <w:t>CLASSIFICHE</w:t>
      </w:r>
      <w:r w:rsidRPr="00E16918">
        <w:rPr>
          <w:b/>
          <w:bCs/>
          <w:color w:val="4F81BD" w:themeColor="accent1"/>
        </w:rPr>
        <w:t xml:space="preserve"> </w:t>
      </w:r>
      <w:r w:rsidR="009E32B8" w:rsidRPr="00E16918">
        <w:rPr>
          <w:b/>
          <w:bCs/>
          <w:color w:val="4F81BD" w:themeColor="accent1"/>
        </w:rPr>
        <w:t xml:space="preserve">NUMERO </w:t>
      </w:r>
      <w:r w:rsidRPr="00E16918">
        <w:rPr>
          <w:b/>
          <w:bCs/>
          <w:color w:val="4F81BD" w:themeColor="accent1"/>
        </w:rPr>
        <w:t>OPERAZIONI ESEGUITE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4</w:t>
      </w:r>
      <w:r w:rsidR="00067E81">
        <w:rPr>
          <w:bCs/>
          <w:color w:val="4F81BD" w:themeColor="accent1"/>
        </w:rPr>
        <w:t>7</w:t>
      </w:r>
    </w:p>
    <w:p w14:paraId="7D063677" w14:textId="2F920DEA" w:rsidR="00E16918" w:rsidRDefault="00E16918" w:rsidP="00E16918">
      <w:pPr>
        <w:spacing w:after="0"/>
        <w:ind w:firstLine="708"/>
        <w:rPr>
          <w:bCs/>
          <w:color w:val="4F81BD" w:themeColor="accent1"/>
        </w:rPr>
      </w:pPr>
      <w:r>
        <w:rPr>
          <w:bCs/>
          <w:color w:val="4F81BD" w:themeColor="accent1"/>
        </w:rPr>
        <w:t>BORSA ITALIANA (TOTALI)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4</w:t>
      </w:r>
      <w:r w:rsidR="00067E81">
        <w:rPr>
          <w:bCs/>
          <w:color w:val="4F81BD" w:themeColor="accent1"/>
        </w:rPr>
        <w:t>8</w:t>
      </w:r>
    </w:p>
    <w:p w14:paraId="72647920" w14:textId="69C78F9D" w:rsidR="00E16918" w:rsidRDefault="00E16918" w:rsidP="00E16918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EUROTLX (C/TERZI)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067E81">
        <w:rPr>
          <w:bCs/>
          <w:color w:val="4F81BD" w:themeColor="accent1"/>
        </w:rPr>
        <w:t>59</w:t>
      </w:r>
    </w:p>
    <w:p w14:paraId="1387B13F" w14:textId="14594BC8" w:rsidR="00E16918" w:rsidRDefault="00E16918" w:rsidP="00E16918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HIMTF (C/TERZI)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6</w:t>
      </w:r>
      <w:r w:rsidR="00067E81">
        <w:rPr>
          <w:bCs/>
          <w:color w:val="4F81BD" w:themeColor="accent1"/>
        </w:rPr>
        <w:t>0</w:t>
      </w:r>
    </w:p>
    <w:p w14:paraId="4DC04DF0" w14:textId="49EDC9FF" w:rsidR="00E16918" w:rsidRPr="00FC5FD0" w:rsidRDefault="00E16918" w:rsidP="00E16918">
      <w:pPr>
        <w:spacing w:after="0"/>
        <w:rPr>
          <w:bCs/>
          <w:color w:val="4F81BD" w:themeColor="accent1"/>
        </w:rPr>
      </w:pPr>
      <w:r>
        <w:rPr>
          <w:bCs/>
          <w:color w:val="4F81BD" w:themeColor="accent1"/>
        </w:rPr>
        <w:tab/>
        <w:t>EQUIDUCT (C/TERZI)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  <w:t>6</w:t>
      </w:r>
      <w:r w:rsidR="00067E81">
        <w:rPr>
          <w:bCs/>
          <w:color w:val="4F81BD" w:themeColor="accent1"/>
        </w:rPr>
        <w:t>1</w:t>
      </w:r>
    </w:p>
    <w:p w14:paraId="657ADF74" w14:textId="18EC58B0" w:rsidR="00F85D74" w:rsidRPr="00FC5FD0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E16918">
        <w:rPr>
          <w:b/>
          <w:bCs/>
          <w:color w:val="4F81BD" w:themeColor="accent1"/>
        </w:rPr>
        <w:t xml:space="preserve">ALLEGATO 5 DATI INTERNALIZZATORI </w:t>
      </w:r>
      <w:r w:rsidR="00366245">
        <w:rPr>
          <w:b/>
          <w:bCs/>
          <w:color w:val="4F81BD" w:themeColor="accent1"/>
        </w:rPr>
        <w:t>SISTEMATICI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6</w:t>
      </w:r>
      <w:r w:rsidR="00067E81">
        <w:rPr>
          <w:bCs/>
          <w:color w:val="4F81BD" w:themeColor="accent1"/>
        </w:rPr>
        <w:t>2</w:t>
      </w:r>
    </w:p>
    <w:p w14:paraId="35DB5B3B" w14:textId="6DFD8A1A" w:rsidR="00F85D74" w:rsidRPr="00FC5FD0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FC5FD0">
        <w:rPr>
          <w:bCs/>
          <w:color w:val="4F81BD" w:themeColor="accent1"/>
        </w:rPr>
        <w:t>INTERMEDIARI NEGOZIATORI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6</w:t>
      </w:r>
      <w:r w:rsidR="00067E81">
        <w:rPr>
          <w:bCs/>
          <w:color w:val="4F81BD" w:themeColor="accent1"/>
        </w:rPr>
        <w:t>3</w:t>
      </w:r>
    </w:p>
    <w:p w14:paraId="3B47A41A" w14:textId="73BD83A1" w:rsidR="00F85D74" w:rsidRPr="00FC5FD0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FC5FD0">
        <w:rPr>
          <w:bCs/>
          <w:color w:val="4F81BD" w:themeColor="accent1"/>
        </w:rPr>
        <w:t>MERCATI REGOLAMENTATI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6</w:t>
      </w:r>
      <w:r w:rsidR="00067E81">
        <w:rPr>
          <w:bCs/>
          <w:color w:val="4F81BD" w:themeColor="accent1"/>
        </w:rPr>
        <w:t>4</w:t>
      </w:r>
    </w:p>
    <w:p w14:paraId="466F3FBA" w14:textId="065334B5" w:rsidR="00F85D74" w:rsidRPr="00FC5FD0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FC5FD0">
        <w:rPr>
          <w:bCs/>
          <w:color w:val="4F81BD" w:themeColor="accent1"/>
        </w:rPr>
        <w:t>MTF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6</w:t>
      </w:r>
      <w:r w:rsidR="00067E81">
        <w:rPr>
          <w:bCs/>
          <w:color w:val="4F81BD" w:themeColor="accent1"/>
        </w:rPr>
        <w:t>4</w:t>
      </w:r>
    </w:p>
    <w:p w14:paraId="34ECAAF2" w14:textId="3E83C1F1" w:rsidR="00F85D74" w:rsidRPr="00FC5FD0" w:rsidRDefault="00F85D74" w:rsidP="00F85D74">
      <w:pPr>
        <w:tabs>
          <w:tab w:val="left" w:pos="2340"/>
        </w:tabs>
        <w:spacing w:after="0"/>
        <w:rPr>
          <w:bCs/>
          <w:color w:val="4F81BD" w:themeColor="accent1"/>
        </w:rPr>
      </w:pPr>
      <w:r w:rsidRPr="00FC5FD0">
        <w:rPr>
          <w:bCs/>
          <w:color w:val="4F81BD" w:themeColor="accent1"/>
        </w:rPr>
        <w:t>INTERNALIZZATORI</w:t>
      </w:r>
      <w:r w:rsidR="00366245">
        <w:rPr>
          <w:bCs/>
          <w:color w:val="4F81BD" w:themeColor="accent1"/>
        </w:rPr>
        <w:t xml:space="preserve"> SISTEMATICI</w:t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</w:r>
      <w:r>
        <w:rPr>
          <w:bCs/>
          <w:color w:val="4F81BD" w:themeColor="accent1"/>
        </w:rPr>
        <w:tab/>
        <w:t>Pag.</w:t>
      </w:r>
      <w:r>
        <w:rPr>
          <w:bCs/>
          <w:color w:val="4F81BD" w:themeColor="accent1"/>
        </w:rPr>
        <w:tab/>
      </w:r>
      <w:r w:rsidR="004B4601">
        <w:rPr>
          <w:bCs/>
          <w:color w:val="4F81BD" w:themeColor="accent1"/>
        </w:rPr>
        <w:t>6</w:t>
      </w:r>
      <w:r w:rsidR="00067E81">
        <w:rPr>
          <w:bCs/>
          <w:color w:val="4F81BD" w:themeColor="accent1"/>
        </w:rPr>
        <w:t>4</w:t>
      </w:r>
    </w:p>
    <w:p w14:paraId="7666E0B9" w14:textId="2C965928" w:rsidR="00C07DDA" w:rsidRDefault="00904794" w:rsidP="00904794">
      <w:pPr>
        <w:tabs>
          <w:tab w:val="left" w:pos="2340"/>
        </w:tabs>
        <w:spacing w:after="0"/>
      </w:pPr>
      <w:r w:rsidRPr="00904794">
        <w:rPr>
          <w:bCs/>
          <w:color w:val="4F81BD" w:themeColor="accent1"/>
        </w:rPr>
        <w:t>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94">
        <w:rPr>
          <w:bCs/>
          <w:color w:val="4F81BD" w:themeColor="accent1"/>
        </w:rPr>
        <w:t>Pag.</w:t>
      </w:r>
      <w:r w:rsidRPr="00904794">
        <w:rPr>
          <w:bCs/>
          <w:color w:val="4F81BD" w:themeColor="accent1"/>
        </w:rPr>
        <w:tab/>
        <w:t>6</w:t>
      </w:r>
      <w:r w:rsidR="00067E81">
        <w:rPr>
          <w:bCs/>
          <w:color w:val="4F81BD" w:themeColor="accent1"/>
        </w:rPr>
        <w:t>4</w:t>
      </w:r>
    </w:p>
    <w:p w14:paraId="63C81F1A" w14:textId="754D0E9F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836F222" w14:textId="77777777" w:rsidR="00067E81" w:rsidRDefault="00067E81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5E986C3" w14:textId="77777777" w:rsidR="00612D3E" w:rsidRDefault="00612D3E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F5E1911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7F454E1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368FBF3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D968CAB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39F4B79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11F2225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26DC055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7783D05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AC9AEDF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6469AD9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DAF37CB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5FC5318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C0C8C5E" w14:textId="77777777" w:rsidR="00B2004F" w:rsidRDefault="00B2004F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871EB63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55FE48C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ACF8F73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7BEF849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447C343" w14:textId="77777777" w:rsidR="00C07DDA" w:rsidRDefault="00C07DDA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01ACAC4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EE18A7C" w14:textId="77777777" w:rsidR="00E16918" w:rsidRPr="00AF18EC" w:rsidRDefault="00E16918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D8A833F" w14:textId="77777777" w:rsidR="00AF18EC" w:rsidRP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5D9FDAD" w14:textId="77777777" w:rsidR="00AF18EC" w:rsidRP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6E59E01" w14:textId="77777777" w:rsidR="00AF18EC" w:rsidRP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1EB6321" w14:textId="77777777" w:rsidR="00AF18EC" w:rsidRPr="000966D1" w:rsidRDefault="000966D1" w:rsidP="000966D1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36"/>
          <w:szCs w:val="36"/>
        </w:rPr>
        <w:t>ALLEGATO 1</w:t>
      </w:r>
    </w:p>
    <w:p w14:paraId="7E46CFDD" w14:textId="77777777" w:rsidR="00AF18EC" w:rsidRP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DA13A2E" w14:textId="77777777" w:rsidR="00AF18EC" w:rsidRPr="00AF18EC" w:rsidRDefault="00AF18EC" w:rsidP="00AF18EC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CLASSIFICHE CONTROVALORI NEGOZIATI IN CONTO TERZI </w:t>
      </w:r>
    </w:p>
    <w:p w14:paraId="2D42024E" w14:textId="77777777" w:rsidR="00AF18EC" w:rsidRDefault="00AF18EC" w:rsidP="00AF18EC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>BORSA ITALIANA</w:t>
      </w:r>
    </w:p>
    <w:p w14:paraId="585F2D19" w14:textId="77777777" w:rsidR="00BF3A5C" w:rsidRP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24"/>
          <w:szCs w:val="24"/>
        </w:rPr>
        <w:t>MTA: Azioni diurne, Diritti</w:t>
      </w:r>
    </w:p>
    <w:p w14:paraId="5651EBDA" w14:textId="77777777" w:rsid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 w:rsidRPr="00335EE8">
        <w:rPr>
          <w:b/>
          <w:bCs/>
          <w:color w:val="4F81BD" w:themeColor="accent1"/>
          <w:sz w:val="24"/>
          <w:szCs w:val="24"/>
        </w:rPr>
        <w:t>DOMESTICMOT</w:t>
      </w:r>
      <w:r>
        <w:rPr>
          <w:b/>
          <w:bCs/>
          <w:color w:val="4F81BD" w:themeColor="accent1"/>
          <w:sz w:val="24"/>
          <w:szCs w:val="24"/>
        </w:rPr>
        <w:t>: Titoli di Stato, Obbligazioni DomesticMOT</w:t>
      </w:r>
    </w:p>
    <w:p w14:paraId="1FD1E6E2" w14:textId="77777777" w:rsid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EUROMOT: Obbligazioni EuroMOT</w:t>
      </w:r>
    </w:p>
    <w:p w14:paraId="52933A07" w14:textId="77777777" w:rsid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EXTRAMOT: Obbligazioni ExtraMOT</w:t>
      </w:r>
    </w:p>
    <w:p w14:paraId="7525F4C8" w14:textId="77777777" w:rsid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SEDEX: </w:t>
      </w:r>
      <w:r w:rsidRPr="00335EE8">
        <w:rPr>
          <w:b/>
          <w:bCs/>
          <w:color w:val="4F81BD" w:themeColor="accent1"/>
          <w:sz w:val="24"/>
          <w:szCs w:val="24"/>
        </w:rPr>
        <w:t>Securitised Derivatives</w:t>
      </w:r>
    </w:p>
    <w:p w14:paraId="4C2C9F7B" w14:textId="77777777" w:rsidR="00335EE8" w:rsidRDefault="00335EE8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ETFPLUS: ETP</w:t>
      </w:r>
    </w:p>
    <w:p w14:paraId="66EF1137" w14:textId="77777777" w:rsidR="006D18E7" w:rsidRDefault="006D18E7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FUTURES SU INDICE</w:t>
      </w:r>
    </w:p>
    <w:p w14:paraId="7C745B85" w14:textId="77777777" w:rsidR="006D18E7" w:rsidRDefault="006D18E7" w:rsidP="006D18E7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MINI FUTURES SU INDICE</w:t>
      </w:r>
    </w:p>
    <w:p w14:paraId="16E7F6C7" w14:textId="77777777" w:rsidR="006D18E7" w:rsidRDefault="006D18E7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INDICE</w:t>
      </w:r>
    </w:p>
    <w:p w14:paraId="5BF2F4B3" w14:textId="77777777" w:rsidR="006D18E7" w:rsidRDefault="006D18E7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AZIONI</w:t>
      </w:r>
    </w:p>
    <w:p w14:paraId="12A27104" w14:textId="77777777" w:rsidR="006D18E7" w:rsidRPr="00335EE8" w:rsidRDefault="006D18E7" w:rsidP="002D5054">
      <w:pPr>
        <w:numPr>
          <w:ilvl w:val="1"/>
          <w:numId w:val="5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FUTURES SU AZIONI </w:t>
      </w:r>
    </w:p>
    <w:p w14:paraId="7CD64ED6" w14:textId="77777777" w:rsidR="00AF18EC" w:rsidRPr="00AF18EC" w:rsidRDefault="00AF18EC" w:rsidP="00AF18EC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AF18EC">
        <w:rPr>
          <w:b/>
          <w:bCs/>
          <w:color w:val="4F81BD" w:themeColor="accent1"/>
          <w:sz w:val="36"/>
          <w:szCs w:val="36"/>
          <w:lang w:val="en-US"/>
        </w:rPr>
        <w:t>EUROTLX SIM</w:t>
      </w:r>
    </w:p>
    <w:p w14:paraId="449B6446" w14:textId="77777777" w:rsidR="00AF18EC" w:rsidRPr="00AF18EC" w:rsidRDefault="00AF18EC" w:rsidP="00AF18EC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AF18EC">
        <w:rPr>
          <w:b/>
          <w:bCs/>
          <w:color w:val="4F81BD" w:themeColor="accent1"/>
          <w:sz w:val="36"/>
          <w:szCs w:val="36"/>
          <w:lang w:val="en-US"/>
        </w:rPr>
        <w:t>HIMTF SIM</w:t>
      </w:r>
    </w:p>
    <w:p w14:paraId="1BB04EFC" w14:textId="77777777" w:rsidR="00AF18EC" w:rsidRPr="00AF18EC" w:rsidRDefault="00AF18EC" w:rsidP="00AF18EC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AF18EC">
        <w:rPr>
          <w:b/>
          <w:bCs/>
          <w:color w:val="4F81BD" w:themeColor="accent1"/>
          <w:sz w:val="36"/>
          <w:szCs w:val="36"/>
          <w:lang w:val="en-US"/>
        </w:rPr>
        <w:t>EQUIDUCT</w:t>
      </w:r>
      <w:r w:rsidR="000F2804">
        <w:rPr>
          <w:b/>
          <w:bCs/>
          <w:color w:val="4F81BD" w:themeColor="accent1"/>
          <w:sz w:val="36"/>
          <w:szCs w:val="36"/>
          <w:lang w:val="en-US"/>
        </w:rPr>
        <w:t xml:space="preserve"> </w:t>
      </w:r>
      <w:r w:rsidR="000F2804" w:rsidRPr="000F2804">
        <w:rPr>
          <w:b/>
          <w:bCs/>
          <w:color w:val="4F81BD" w:themeColor="accent1"/>
          <w:sz w:val="36"/>
          <w:szCs w:val="36"/>
        </w:rPr>
        <w:t>(AZIONI ITALIANE)</w:t>
      </w:r>
    </w:p>
    <w:p w14:paraId="55D2CD2C" w14:textId="07D7A514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6E49294" w14:textId="53918C59" w:rsidR="00DE0999" w:rsidRDefault="00DE0999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1C225CD" w14:textId="77777777" w:rsidR="00DE0999" w:rsidRPr="00AF18EC" w:rsidRDefault="00DE0999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315F099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BBBC85E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E028D1F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2ECC956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0F4B173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EE59CA2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9B6E0FE" w14:textId="77777777" w:rsidR="00AF18EC" w:rsidRDefault="00AF18EC" w:rsidP="00AF18EC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7E27112" w14:textId="1301372F" w:rsidR="00AF18EC" w:rsidRDefault="00B2004F" w:rsidP="00E16918">
      <w:pPr>
        <w:tabs>
          <w:tab w:val="left" w:pos="2340"/>
        </w:tabs>
        <w:spacing w:before="240"/>
        <w:jc w:val="both"/>
      </w:pPr>
      <w:r w:rsidRPr="00B2004F">
        <w:t>Nota metodologica: L</w:t>
      </w:r>
      <w:r>
        <w:t>e</w:t>
      </w:r>
      <w:r w:rsidRPr="00B2004F">
        <w:t xml:space="preserve"> classific</w:t>
      </w:r>
      <w:r>
        <w:t>he</w:t>
      </w:r>
      <w:r w:rsidRPr="00B2004F">
        <w:t xml:space="preserve"> </w:t>
      </w:r>
      <w:r>
        <w:t>sono</w:t>
      </w:r>
      <w:r w:rsidRPr="00B2004F">
        <w:t xml:space="preserve"> elaborat</w:t>
      </w:r>
      <w:r>
        <w:t>e</w:t>
      </w:r>
      <w:r w:rsidRPr="00B2004F">
        <w:t xml:space="preserve"> sulla base dei controvalori </w:t>
      </w:r>
      <w:r>
        <w:t xml:space="preserve">degli strumenti finanziari negoziati </w:t>
      </w:r>
      <w:r w:rsidRPr="00B2004F">
        <w:t>in conto terzi dagli intermediari Associati su</w:t>
      </w:r>
      <w:r>
        <w:t>i</w:t>
      </w:r>
      <w:r w:rsidRPr="00B2004F">
        <w:t xml:space="preserve"> mercat</w:t>
      </w:r>
      <w:r>
        <w:t>i</w:t>
      </w:r>
      <w:r w:rsidRPr="00B2004F">
        <w:t xml:space="preserve"> </w:t>
      </w:r>
      <w:r>
        <w:t>sopra riportati</w:t>
      </w:r>
      <w:r w:rsidRPr="00B2004F">
        <w:t>.</w:t>
      </w:r>
      <w:r w:rsidR="00D56929">
        <w:t xml:space="preserve"> </w:t>
      </w:r>
      <w:r w:rsidR="006D3165">
        <w:t>Per i</w:t>
      </w:r>
      <w:r w:rsidR="00DE0999">
        <w:t>l</w:t>
      </w:r>
      <w:r w:rsidR="006D3165">
        <w:t xml:space="preserve"> </w:t>
      </w:r>
      <w:r w:rsidR="006D3165" w:rsidRPr="006D3165">
        <w:t>mercat</w:t>
      </w:r>
      <w:r w:rsidR="00DE0999">
        <w:t>o</w:t>
      </w:r>
      <w:r w:rsidR="006D3165" w:rsidRPr="006D3165">
        <w:t xml:space="preserve"> gestit</w:t>
      </w:r>
      <w:r w:rsidR="00DE0999">
        <w:t>o</w:t>
      </w:r>
      <w:r w:rsidR="006D3165" w:rsidRPr="006D3165">
        <w:t xml:space="preserve"> EQUIDUCT</w:t>
      </w:r>
      <w:r w:rsidR="006D3165">
        <w:t xml:space="preserve"> viene rilevata soltanto l’operatività </w:t>
      </w:r>
      <w:r w:rsidR="006D3165" w:rsidRPr="006D3165">
        <w:t xml:space="preserve">sugli strumenti finanziari italiani negoziati </w:t>
      </w:r>
      <w:r w:rsidR="006D3165">
        <w:t xml:space="preserve">dagli intermediari Associati </w:t>
      </w:r>
    </w:p>
    <w:p w14:paraId="4518C908" w14:textId="77777777" w:rsidR="00AF18EC" w:rsidRDefault="00AF18EC" w:rsidP="00AF18E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>BORSA ITALIANA: MTA</w:t>
      </w:r>
      <w:r w:rsidR="00D646CC">
        <w:rPr>
          <w:color w:val="4F81BD" w:themeColor="accent1"/>
        </w:rPr>
        <w:t xml:space="preserve">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62E51DBB" w14:textId="77777777" w:rsidR="00AF18EC" w:rsidRPr="00AF18EC" w:rsidRDefault="00AF18EC" w:rsidP="00AF18EC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F18EC" w:rsidRPr="00AF18EC" w14:paraId="0780A6D9" w14:textId="77777777" w:rsidTr="00AF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AB2895F" w14:textId="77777777" w:rsidR="00AF18EC" w:rsidRPr="00AF18EC" w:rsidRDefault="00AF18EC" w:rsidP="00AF18EC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E4CAD57" w14:textId="44BC4342" w:rsidR="00AF18EC" w:rsidRPr="00AF18EC" w:rsidRDefault="00A635A4" w:rsidP="00906243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</w:t>
            </w:r>
            <w:r w:rsidR="003A4FFC">
              <w:rPr>
                <w:sz w:val="20"/>
                <w:szCs w:val="20"/>
              </w:rPr>
              <w:t xml:space="preserve"> </w:t>
            </w:r>
            <w:r w:rsidR="0090624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14:paraId="5EA2ECC6" w14:textId="0D28E730" w:rsidR="00AF18EC" w:rsidRPr="00AF18EC" w:rsidRDefault="00A635A4" w:rsidP="00906243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B623FAC" w14:textId="77777777" w:rsidR="00AF18EC" w:rsidRPr="00AF18EC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733177DB" w14:textId="77777777" w:rsidR="00AF18EC" w:rsidRPr="00AF18EC" w:rsidRDefault="00AF18EC" w:rsidP="00AF18E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4BD00C9C" w14:textId="77F4D055" w:rsidR="00AF18EC" w:rsidRPr="00AF18EC" w:rsidRDefault="00A635A4" w:rsidP="00906243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</w:t>
            </w:r>
            <w:r w:rsidR="00906243">
              <w:rPr>
                <w:sz w:val="20"/>
                <w:szCs w:val="20"/>
              </w:rPr>
              <w:t xml:space="preserve"> </w:t>
            </w:r>
            <w:r w:rsidR="000868B5">
              <w:rPr>
                <w:sz w:val="20"/>
                <w:szCs w:val="20"/>
              </w:rPr>
              <w:t>2</w:t>
            </w:r>
            <w:r w:rsidR="00AF18EC"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947C3F" w:rsidRPr="00CE7986" w14:paraId="38FC66C0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D8D9511" w14:textId="5BA016E0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Finecobank</w:t>
            </w:r>
          </w:p>
        </w:tc>
        <w:tc>
          <w:tcPr>
            <w:tcW w:w="1736" w:type="dxa"/>
            <w:noWrap/>
          </w:tcPr>
          <w:p w14:paraId="6B9C9CE4" w14:textId="279A84CA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15,42%</w:t>
            </w:r>
          </w:p>
        </w:tc>
        <w:tc>
          <w:tcPr>
            <w:tcW w:w="1737" w:type="dxa"/>
            <w:noWrap/>
          </w:tcPr>
          <w:p w14:paraId="723BD06F" w14:textId="6DE5050F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12,97%</w:t>
            </w:r>
          </w:p>
        </w:tc>
        <w:tc>
          <w:tcPr>
            <w:tcW w:w="1736" w:type="dxa"/>
            <w:noWrap/>
          </w:tcPr>
          <w:p w14:paraId="7BB82B08" w14:textId="05FFFBD3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2,46%</w:t>
            </w:r>
          </w:p>
        </w:tc>
        <w:tc>
          <w:tcPr>
            <w:tcW w:w="1737" w:type="dxa"/>
            <w:noWrap/>
          </w:tcPr>
          <w:p w14:paraId="6357C3B8" w14:textId="486C8C5E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</w:t>
            </w:r>
          </w:p>
        </w:tc>
      </w:tr>
      <w:tr w:rsidR="00947C3F" w:rsidRPr="00CE7986" w14:paraId="534E1CC5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5FEA5B9" w14:textId="0751CD44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IMI</w:t>
            </w:r>
          </w:p>
        </w:tc>
        <w:tc>
          <w:tcPr>
            <w:tcW w:w="1736" w:type="dxa"/>
            <w:noWrap/>
          </w:tcPr>
          <w:p w14:paraId="5528791B" w14:textId="683C586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12,14%</w:t>
            </w:r>
          </w:p>
        </w:tc>
        <w:tc>
          <w:tcPr>
            <w:tcW w:w="1737" w:type="dxa"/>
            <w:noWrap/>
          </w:tcPr>
          <w:p w14:paraId="0CBAE4EB" w14:textId="6E1787A8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9,76%</w:t>
            </w:r>
          </w:p>
        </w:tc>
        <w:tc>
          <w:tcPr>
            <w:tcW w:w="1736" w:type="dxa"/>
            <w:noWrap/>
          </w:tcPr>
          <w:p w14:paraId="78ECB241" w14:textId="17BC32FE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2,38%</w:t>
            </w:r>
          </w:p>
        </w:tc>
        <w:tc>
          <w:tcPr>
            <w:tcW w:w="1737" w:type="dxa"/>
            <w:noWrap/>
          </w:tcPr>
          <w:p w14:paraId="2B7F723B" w14:textId="29FCF099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3</w:t>
            </w:r>
          </w:p>
        </w:tc>
      </w:tr>
      <w:tr w:rsidR="00947C3F" w:rsidRPr="00CE7986" w14:paraId="58E5F0E0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6B29B83" w14:textId="67A6EB81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IwBank</w:t>
            </w:r>
          </w:p>
        </w:tc>
        <w:tc>
          <w:tcPr>
            <w:tcW w:w="1736" w:type="dxa"/>
            <w:noWrap/>
          </w:tcPr>
          <w:p w14:paraId="3D04EAA6" w14:textId="09A5B079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9,86%</w:t>
            </w:r>
          </w:p>
        </w:tc>
        <w:tc>
          <w:tcPr>
            <w:tcW w:w="1737" w:type="dxa"/>
            <w:noWrap/>
          </w:tcPr>
          <w:p w14:paraId="00AAB81A" w14:textId="346FC80E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9,79%</w:t>
            </w:r>
          </w:p>
        </w:tc>
        <w:tc>
          <w:tcPr>
            <w:tcW w:w="1736" w:type="dxa"/>
            <w:noWrap/>
          </w:tcPr>
          <w:p w14:paraId="30657019" w14:textId="3F5AA078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0,07%</w:t>
            </w:r>
          </w:p>
        </w:tc>
        <w:tc>
          <w:tcPr>
            <w:tcW w:w="1737" w:type="dxa"/>
            <w:noWrap/>
          </w:tcPr>
          <w:p w14:paraId="3E8A40D5" w14:textId="12CAFE34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</w:t>
            </w:r>
          </w:p>
        </w:tc>
      </w:tr>
      <w:tr w:rsidR="00947C3F" w:rsidRPr="00CE7986" w14:paraId="4476F342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569A18" w14:textId="1086C5DE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Akros</w:t>
            </w:r>
          </w:p>
        </w:tc>
        <w:tc>
          <w:tcPr>
            <w:tcW w:w="1736" w:type="dxa"/>
            <w:noWrap/>
          </w:tcPr>
          <w:p w14:paraId="7D624097" w14:textId="1D61993C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7,84%</w:t>
            </w:r>
          </w:p>
        </w:tc>
        <w:tc>
          <w:tcPr>
            <w:tcW w:w="1737" w:type="dxa"/>
            <w:noWrap/>
          </w:tcPr>
          <w:p w14:paraId="3D54D1B3" w14:textId="4440667E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7,04%</w:t>
            </w:r>
          </w:p>
        </w:tc>
        <w:tc>
          <w:tcPr>
            <w:tcW w:w="1736" w:type="dxa"/>
            <w:noWrap/>
          </w:tcPr>
          <w:p w14:paraId="79FD88C8" w14:textId="75A8C57D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0,79%</w:t>
            </w:r>
          </w:p>
        </w:tc>
        <w:tc>
          <w:tcPr>
            <w:tcW w:w="1737" w:type="dxa"/>
            <w:noWrap/>
          </w:tcPr>
          <w:p w14:paraId="0E7548CF" w14:textId="66AD44D1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4</w:t>
            </w:r>
          </w:p>
        </w:tc>
      </w:tr>
      <w:tr w:rsidR="00947C3F" w:rsidRPr="00CE7986" w14:paraId="43F6AF72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25EFE73" w14:textId="2036023C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Equita SIM</w:t>
            </w:r>
          </w:p>
        </w:tc>
        <w:tc>
          <w:tcPr>
            <w:tcW w:w="1736" w:type="dxa"/>
            <w:noWrap/>
          </w:tcPr>
          <w:p w14:paraId="31544297" w14:textId="53007862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5,62%</w:t>
            </w:r>
          </w:p>
        </w:tc>
        <w:tc>
          <w:tcPr>
            <w:tcW w:w="1737" w:type="dxa"/>
            <w:noWrap/>
          </w:tcPr>
          <w:p w14:paraId="088B7945" w14:textId="54173778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5,75%</w:t>
            </w:r>
          </w:p>
        </w:tc>
        <w:tc>
          <w:tcPr>
            <w:tcW w:w="1736" w:type="dxa"/>
            <w:noWrap/>
          </w:tcPr>
          <w:p w14:paraId="69B7FA72" w14:textId="19B7D7B4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-0,13%</w:t>
            </w:r>
          </w:p>
        </w:tc>
        <w:tc>
          <w:tcPr>
            <w:tcW w:w="1737" w:type="dxa"/>
            <w:noWrap/>
          </w:tcPr>
          <w:p w14:paraId="520FD1F6" w14:textId="3CDAD774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6</w:t>
            </w:r>
          </w:p>
        </w:tc>
      </w:tr>
      <w:tr w:rsidR="00947C3F" w:rsidRPr="00CE7986" w14:paraId="3A928C5F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9B58386" w14:textId="3288466C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Directa SIM</w:t>
            </w:r>
          </w:p>
        </w:tc>
        <w:tc>
          <w:tcPr>
            <w:tcW w:w="1736" w:type="dxa"/>
            <w:noWrap/>
          </w:tcPr>
          <w:p w14:paraId="7383A715" w14:textId="31026970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5,46%</w:t>
            </w:r>
          </w:p>
        </w:tc>
        <w:tc>
          <w:tcPr>
            <w:tcW w:w="1737" w:type="dxa"/>
            <w:noWrap/>
          </w:tcPr>
          <w:p w14:paraId="1CADD70E" w14:textId="4493BD1D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5,77%</w:t>
            </w:r>
          </w:p>
        </w:tc>
        <w:tc>
          <w:tcPr>
            <w:tcW w:w="1736" w:type="dxa"/>
            <w:noWrap/>
          </w:tcPr>
          <w:p w14:paraId="541FE277" w14:textId="72CAC9B0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-0,31%</w:t>
            </w:r>
          </w:p>
        </w:tc>
        <w:tc>
          <w:tcPr>
            <w:tcW w:w="1737" w:type="dxa"/>
            <w:noWrap/>
          </w:tcPr>
          <w:p w14:paraId="663FD9C7" w14:textId="68A86211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5</w:t>
            </w:r>
          </w:p>
        </w:tc>
      </w:tr>
      <w:tr w:rsidR="00947C3F" w:rsidRPr="00CE7986" w14:paraId="39DFDBBC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31FF3A0" w14:textId="1EC70D34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Aletti</w:t>
            </w:r>
          </w:p>
        </w:tc>
        <w:tc>
          <w:tcPr>
            <w:tcW w:w="1736" w:type="dxa"/>
            <w:noWrap/>
          </w:tcPr>
          <w:p w14:paraId="1BD2162C" w14:textId="5552545D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5,26%</w:t>
            </w:r>
          </w:p>
        </w:tc>
        <w:tc>
          <w:tcPr>
            <w:tcW w:w="1737" w:type="dxa"/>
            <w:noWrap/>
          </w:tcPr>
          <w:p w14:paraId="65A94FAD" w14:textId="527B50C5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5,56%</w:t>
            </w:r>
          </w:p>
        </w:tc>
        <w:tc>
          <w:tcPr>
            <w:tcW w:w="1736" w:type="dxa"/>
            <w:noWrap/>
          </w:tcPr>
          <w:p w14:paraId="2B629ACE" w14:textId="5FD67F5D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-0,30%</w:t>
            </w:r>
          </w:p>
        </w:tc>
        <w:tc>
          <w:tcPr>
            <w:tcW w:w="1737" w:type="dxa"/>
            <w:noWrap/>
          </w:tcPr>
          <w:p w14:paraId="00D9AD74" w14:textId="42E0FEE8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7</w:t>
            </w:r>
          </w:p>
        </w:tc>
      </w:tr>
      <w:tr w:rsidR="00947C3F" w:rsidRPr="00CE7986" w14:paraId="725B4635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BFD95A9" w14:textId="4C9FE83E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Intermonte SIM</w:t>
            </w:r>
          </w:p>
        </w:tc>
        <w:tc>
          <w:tcPr>
            <w:tcW w:w="1736" w:type="dxa"/>
            <w:noWrap/>
          </w:tcPr>
          <w:p w14:paraId="2A635BF2" w14:textId="2D9D63D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4,31%</w:t>
            </w:r>
          </w:p>
        </w:tc>
        <w:tc>
          <w:tcPr>
            <w:tcW w:w="1737" w:type="dxa"/>
            <w:noWrap/>
          </w:tcPr>
          <w:p w14:paraId="40CB2DCD" w14:textId="0A0B4C34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4,99%</w:t>
            </w:r>
          </w:p>
        </w:tc>
        <w:tc>
          <w:tcPr>
            <w:tcW w:w="1736" w:type="dxa"/>
            <w:noWrap/>
          </w:tcPr>
          <w:p w14:paraId="4DA8F7F9" w14:textId="6E77235B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-0,69%</w:t>
            </w:r>
          </w:p>
        </w:tc>
        <w:tc>
          <w:tcPr>
            <w:tcW w:w="1737" w:type="dxa"/>
            <w:noWrap/>
          </w:tcPr>
          <w:p w14:paraId="663DF7E0" w14:textId="6B944A4D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8</w:t>
            </w:r>
          </w:p>
        </w:tc>
      </w:tr>
      <w:tr w:rsidR="00947C3F" w:rsidRPr="00CE7986" w14:paraId="6696CCF0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2A1466E" w14:textId="32F349B6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Sella Holding</w:t>
            </w:r>
          </w:p>
        </w:tc>
        <w:tc>
          <w:tcPr>
            <w:tcW w:w="1736" w:type="dxa"/>
            <w:noWrap/>
          </w:tcPr>
          <w:p w14:paraId="7017C871" w14:textId="3A5F8796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4,26%</w:t>
            </w:r>
          </w:p>
        </w:tc>
        <w:tc>
          <w:tcPr>
            <w:tcW w:w="1737" w:type="dxa"/>
            <w:noWrap/>
          </w:tcPr>
          <w:p w14:paraId="5B719920" w14:textId="7DE14F5E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3,34%</w:t>
            </w:r>
          </w:p>
        </w:tc>
        <w:tc>
          <w:tcPr>
            <w:tcW w:w="1736" w:type="dxa"/>
            <w:noWrap/>
          </w:tcPr>
          <w:p w14:paraId="300C470E" w14:textId="47AECD19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0,92%</w:t>
            </w:r>
          </w:p>
        </w:tc>
        <w:tc>
          <w:tcPr>
            <w:tcW w:w="1737" w:type="dxa"/>
            <w:noWrap/>
          </w:tcPr>
          <w:p w14:paraId="620EA32C" w14:textId="17FF0CF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11</w:t>
            </w:r>
          </w:p>
        </w:tc>
      </w:tr>
      <w:tr w:rsidR="00947C3F" w:rsidRPr="00CE7986" w14:paraId="3065BF4D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240F9FD" w14:textId="2EA1A4F1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Unicredit Bank AG</w:t>
            </w:r>
          </w:p>
        </w:tc>
        <w:tc>
          <w:tcPr>
            <w:tcW w:w="1736" w:type="dxa"/>
            <w:noWrap/>
          </w:tcPr>
          <w:p w14:paraId="51C340D7" w14:textId="0A418E64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4,12%</w:t>
            </w:r>
          </w:p>
        </w:tc>
        <w:tc>
          <w:tcPr>
            <w:tcW w:w="1737" w:type="dxa"/>
            <w:noWrap/>
          </w:tcPr>
          <w:p w14:paraId="4A9B6174" w14:textId="100047D5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3,76%</w:t>
            </w:r>
          </w:p>
        </w:tc>
        <w:tc>
          <w:tcPr>
            <w:tcW w:w="1736" w:type="dxa"/>
            <w:noWrap/>
          </w:tcPr>
          <w:p w14:paraId="45F687D1" w14:textId="75D05E0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0,36%</w:t>
            </w:r>
          </w:p>
        </w:tc>
        <w:tc>
          <w:tcPr>
            <w:tcW w:w="1737" w:type="dxa"/>
            <w:noWrap/>
          </w:tcPr>
          <w:p w14:paraId="1DC52D40" w14:textId="55B39CAA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9</w:t>
            </w:r>
          </w:p>
        </w:tc>
      </w:tr>
      <w:tr w:rsidR="00947C3F" w:rsidRPr="00CE7986" w14:paraId="303D5E40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A68B8A6" w14:textId="668DFE19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Nexi</w:t>
            </w:r>
          </w:p>
        </w:tc>
        <w:tc>
          <w:tcPr>
            <w:tcW w:w="1736" w:type="dxa"/>
            <w:noWrap/>
          </w:tcPr>
          <w:p w14:paraId="2E80A3AE" w14:textId="7059E4D6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2,90%</w:t>
            </w:r>
          </w:p>
        </w:tc>
        <w:tc>
          <w:tcPr>
            <w:tcW w:w="1737" w:type="dxa"/>
            <w:noWrap/>
          </w:tcPr>
          <w:p w14:paraId="181408DB" w14:textId="43ACEB31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3,20%</w:t>
            </w:r>
          </w:p>
        </w:tc>
        <w:tc>
          <w:tcPr>
            <w:tcW w:w="1736" w:type="dxa"/>
            <w:noWrap/>
          </w:tcPr>
          <w:p w14:paraId="53A46757" w14:textId="5BC77D9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-0,30%</w:t>
            </w:r>
          </w:p>
        </w:tc>
        <w:tc>
          <w:tcPr>
            <w:tcW w:w="1737" w:type="dxa"/>
            <w:noWrap/>
          </w:tcPr>
          <w:p w14:paraId="651D4DC5" w14:textId="0F2A961A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12</w:t>
            </w:r>
          </w:p>
        </w:tc>
      </w:tr>
      <w:tr w:rsidR="00947C3F" w:rsidRPr="00CE7986" w14:paraId="08029653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D55955E" w14:textId="6FCD2169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MPS Capital Services</w:t>
            </w:r>
          </w:p>
        </w:tc>
        <w:tc>
          <w:tcPr>
            <w:tcW w:w="1736" w:type="dxa"/>
            <w:noWrap/>
          </w:tcPr>
          <w:p w14:paraId="17500201" w14:textId="2B879B4D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1,78%</w:t>
            </w:r>
          </w:p>
        </w:tc>
        <w:tc>
          <w:tcPr>
            <w:tcW w:w="1737" w:type="dxa"/>
            <w:noWrap/>
          </w:tcPr>
          <w:p w14:paraId="7369A572" w14:textId="0C5DB104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0,87%</w:t>
            </w:r>
          </w:p>
        </w:tc>
        <w:tc>
          <w:tcPr>
            <w:tcW w:w="1736" w:type="dxa"/>
            <w:noWrap/>
          </w:tcPr>
          <w:p w14:paraId="36FCF263" w14:textId="015CAA58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0,91%</w:t>
            </w:r>
          </w:p>
        </w:tc>
        <w:tc>
          <w:tcPr>
            <w:tcW w:w="1737" w:type="dxa"/>
            <w:noWrap/>
          </w:tcPr>
          <w:p w14:paraId="20EB9011" w14:textId="5AFF94CF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17</w:t>
            </w:r>
          </w:p>
        </w:tc>
      </w:tr>
      <w:tr w:rsidR="00947C3F" w:rsidRPr="00CE7986" w14:paraId="08C48D61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64D9FD4" w14:textId="19FCB4CD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Credem</w:t>
            </w:r>
          </w:p>
        </w:tc>
        <w:tc>
          <w:tcPr>
            <w:tcW w:w="1736" w:type="dxa"/>
            <w:noWrap/>
          </w:tcPr>
          <w:p w14:paraId="4AF97243" w14:textId="0EB0D51F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0,97%</w:t>
            </w:r>
          </w:p>
        </w:tc>
        <w:tc>
          <w:tcPr>
            <w:tcW w:w="1737" w:type="dxa"/>
            <w:noWrap/>
          </w:tcPr>
          <w:p w14:paraId="5EA163E8" w14:textId="30ECC607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0,97%</w:t>
            </w:r>
          </w:p>
        </w:tc>
        <w:tc>
          <w:tcPr>
            <w:tcW w:w="1736" w:type="dxa"/>
            <w:noWrap/>
          </w:tcPr>
          <w:p w14:paraId="7082A6E0" w14:textId="0675C420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5F48D948" w14:textId="6EF1C156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16</w:t>
            </w:r>
          </w:p>
        </w:tc>
      </w:tr>
      <w:tr w:rsidR="00947C3F" w:rsidRPr="00CE7986" w14:paraId="0325835E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7707D21" w14:textId="4B92E58B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Mediobanca</w:t>
            </w:r>
          </w:p>
        </w:tc>
        <w:tc>
          <w:tcPr>
            <w:tcW w:w="1736" w:type="dxa"/>
            <w:noWrap/>
          </w:tcPr>
          <w:p w14:paraId="317D525A" w14:textId="5D7CF58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0,80%</w:t>
            </w:r>
          </w:p>
        </w:tc>
        <w:tc>
          <w:tcPr>
            <w:tcW w:w="1737" w:type="dxa"/>
            <w:noWrap/>
          </w:tcPr>
          <w:p w14:paraId="2FCD07CF" w14:textId="1DE391A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1,94%</w:t>
            </w:r>
          </w:p>
        </w:tc>
        <w:tc>
          <w:tcPr>
            <w:tcW w:w="1736" w:type="dxa"/>
            <w:noWrap/>
          </w:tcPr>
          <w:p w14:paraId="67B1641E" w14:textId="3E56D509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-1,14%</w:t>
            </w:r>
          </w:p>
        </w:tc>
        <w:tc>
          <w:tcPr>
            <w:tcW w:w="1737" w:type="dxa"/>
            <w:noWrap/>
          </w:tcPr>
          <w:p w14:paraId="1B5ABD86" w14:textId="2437844D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15</w:t>
            </w:r>
          </w:p>
        </w:tc>
      </w:tr>
      <w:tr w:rsidR="00947C3F" w:rsidRPr="00CE7986" w14:paraId="596D08CE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12D5DC7" w14:textId="00DB4323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Invest Banca</w:t>
            </w:r>
          </w:p>
        </w:tc>
        <w:tc>
          <w:tcPr>
            <w:tcW w:w="1736" w:type="dxa"/>
            <w:noWrap/>
          </w:tcPr>
          <w:p w14:paraId="547370B6" w14:textId="76AB3BED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0,62%</w:t>
            </w:r>
          </w:p>
        </w:tc>
        <w:tc>
          <w:tcPr>
            <w:tcW w:w="1737" w:type="dxa"/>
            <w:noWrap/>
          </w:tcPr>
          <w:p w14:paraId="6BB7E9A7" w14:textId="2226E55E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0,68%</w:t>
            </w:r>
          </w:p>
        </w:tc>
        <w:tc>
          <w:tcPr>
            <w:tcW w:w="1736" w:type="dxa"/>
            <w:noWrap/>
          </w:tcPr>
          <w:p w14:paraId="098BAF52" w14:textId="493A0650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-0,06%</w:t>
            </w:r>
          </w:p>
        </w:tc>
        <w:tc>
          <w:tcPr>
            <w:tcW w:w="1737" w:type="dxa"/>
            <w:noWrap/>
          </w:tcPr>
          <w:p w14:paraId="4ED195CF" w14:textId="5211099F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18</w:t>
            </w:r>
          </w:p>
        </w:tc>
      </w:tr>
      <w:tr w:rsidR="00947C3F" w:rsidRPr="00CE7986" w14:paraId="352DFB5F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6F7A22C" w14:textId="72AAFB71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Iccrea Banca</w:t>
            </w:r>
          </w:p>
        </w:tc>
        <w:tc>
          <w:tcPr>
            <w:tcW w:w="1736" w:type="dxa"/>
            <w:noWrap/>
          </w:tcPr>
          <w:p w14:paraId="25155BEF" w14:textId="247D005C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0,59%</w:t>
            </w:r>
          </w:p>
        </w:tc>
        <w:tc>
          <w:tcPr>
            <w:tcW w:w="1737" w:type="dxa"/>
            <w:noWrap/>
          </w:tcPr>
          <w:p w14:paraId="3F74B385" w14:textId="6A8388E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0,62%</w:t>
            </w:r>
          </w:p>
        </w:tc>
        <w:tc>
          <w:tcPr>
            <w:tcW w:w="1736" w:type="dxa"/>
            <w:noWrap/>
          </w:tcPr>
          <w:p w14:paraId="7B17CB08" w14:textId="53274089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-0,04%</w:t>
            </w:r>
          </w:p>
        </w:tc>
        <w:tc>
          <w:tcPr>
            <w:tcW w:w="1737" w:type="dxa"/>
            <w:noWrap/>
          </w:tcPr>
          <w:p w14:paraId="5AD4EA51" w14:textId="23E399F8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19</w:t>
            </w:r>
          </w:p>
        </w:tc>
      </w:tr>
      <w:tr w:rsidR="00947C3F" w:rsidRPr="00CE7986" w14:paraId="0AD52DDC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0112C1A" w14:textId="6D967C88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Generali</w:t>
            </w:r>
          </w:p>
        </w:tc>
        <w:tc>
          <w:tcPr>
            <w:tcW w:w="1736" w:type="dxa"/>
            <w:noWrap/>
          </w:tcPr>
          <w:p w14:paraId="6DD5AAF3" w14:textId="41346B83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0,49%</w:t>
            </w:r>
          </w:p>
        </w:tc>
        <w:tc>
          <w:tcPr>
            <w:tcW w:w="1737" w:type="dxa"/>
            <w:noWrap/>
          </w:tcPr>
          <w:p w14:paraId="390C0D63" w14:textId="130D4F0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0,42%</w:t>
            </w:r>
          </w:p>
        </w:tc>
        <w:tc>
          <w:tcPr>
            <w:tcW w:w="1736" w:type="dxa"/>
            <w:noWrap/>
          </w:tcPr>
          <w:p w14:paraId="1E6A5207" w14:textId="009E134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0,07%</w:t>
            </w:r>
          </w:p>
        </w:tc>
        <w:tc>
          <w:tcPr>
            <w:tcW w:w="1737" w:type="dxa"/>
            <w:noWrap/>
          </w:tcPr>
          <w:p w14:paraId="6FD99FD2" w14:textId="4B56E3DC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20</w:t>
            </w:r>
          </w:p>
        </w:tc>
      </w:tr>
      <w:tr w:rsidR="00947C3F" w:rsidRPr="00CE7986" w14:paraId="1317DE59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F4CFA0F" w14:textId="5F7050ED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Intermobiliare</w:t>
            </w:r>
          </w:p>
        </w:tc>
        <w:tc>
          <w:tcPr>
            <w:tcW w:w="1736" w:type="dxa"/>
            <w:noWrap/>
          </w:tcPr>
          <w:p w14:paraId="3721E093" w14:textId="72DD8FE0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0,37%</w:t>
            </w:r>
          </w:p>
        </w:tc>
        <w:tc>
          <w:tcPr>
            <w:tcW w:w="1737" w:type="dxa"/>
            <w:noWrap/>
          </w:tcPr>
          <w:p w14:paraId="29B13A0D" w14:textId="38E58747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0,41%</w:t>
            </w:r>
          </w:p>
        </w:tc>
        <w:tc>
          <w:tcPr>
            <w:tcW w:w="1736" w:type="dxa"/>
            <w:noWrap/>
          </w:tcPr>
          <w:p w14:paraId="0F0CC59D" w14:textId="58836EDB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-0,03%</w:t>
            </w:r>
          </w:p>
        </w:tc>
        <w:tc>
          <w:tcPr>
            <w:tcW w:w="1737" w:type="dxa"/>
            <w:noWrap/>
          </w:tcPr>
          <w:p w14:paraId="7805D70C" w14:textId="4540AD0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22</w:t>
            </w:r>
          </w:p>
        </w:tc>
      </w:tr>
      <w:tr w:rsidR="00947C3F" w:rsidRPr="00CE7986" w14:paraId="6025524F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5B9C0E5" w14:textId="5D3A23AE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Banca Finnat Euramerica</w:t>
            </w:r>
          </w:p>
        </w:tc>
        <w:tc>
          <w:tcPr>
            <w:tcW w:w="1736" w:type="dxa"/>
            <w:noWrap/>
          </w:tcPr>
          <w:p w14:paraId="1229CC63" w14:textId="1A77B104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0,25%</w:t>
            </w:r>
          </w:p>
        </w:tc>
        <w:tc>
          <w:tcPr>
            <w:tcW w:w="1737" w:type="dxa"/>
            <w:noWrap/>
          </w:tcPr>
          <w:p w14:paraId="6892B878" w14:textId="7CCEA205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0,17%</w:t>
            </w:r>
          </w:p>
        </w:tc>
        <w:tc>
          <w:tcPr>
            <w:tcW w:w="1736" w:type="dxa"/>
            <w:noWrap/>
          </w:tcPr>
          <w:p w14:paraId="5FBBD0DF" w14:textId="1E2A832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0,08%</w:t>
            </w:r>
          </w:p>
        </w:tc>
        <w:tc>
          <w:tcPr>
            <w:tcW w:w="1737" w:type="dxa"/>
            <w:noWrap/>
          </w:tcPr>
          <w:p w14:paraId="4348EFD3" w14:textId="5FF6CB15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24</w:t>
            </w:r>
          </w:p>
        </w:tc>
      </w:tr>
      <w:tr w:rsidR="00947C3F" w:rsidRPr="00CE7986" w14:paraId="3DA415AE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2D386AE" w14:textId="19D9C2E4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Finsud SIM</w:t>
            </w:r>
          </w:p>
        </w:tc>
        <w:tc>
          <w:tcPr>
            <w:tcW w:w="1736" w:type="dxa"/>
            <w:noWrap/>
          </w:tcPr>
          <w:p w14:paraId="57E27CDA" w14:textId="52166BA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0,07%</w:t>
            </w:r>
          </w:p>
        </w:tc>
        <w:tc>
          <w:tcPr>
            <w:tcW w:w="1737" w:type="dxa"/>
            <w:noWrap/>
          </w:tcPr>
          <w:p w14:paraId="26DCA784" w14:textId="412C18A4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0,06%</w:t>
            </w:r>
          </w:p>
        </w:tc>
        <w:tc>
          <w:tcPr>
            <w:tcW w:w="1736" w:type="dxa"/>
            <w:noWrap/>
          </w:tcPr>
          <w:p w14:paraId="7A133124" w14:textId="53BA2FE8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0,01%</w:t>
            </w:r>
          </w:p>
        </w:tc>
        <w:tc>
          <w:tcPr>
            <w:tcW w:w="1737" w:type="dxa"/>
            <w:noWrap/>
          </w:tcPr>
          <w:p w14:paraId="4D512924" w14:textId="28CCB970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25</w:t>
            </w:r>
          </w:p>
        </w:tc>
      </w:tr>
      <w:tr w:rsidR="00947C3F" w:rsidRPr="00CE7986" w14:paraId="7E49907F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AE0989D" w14:textId="50F2D594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Merrill Lynch</w:t>
            </w:r>
          </w:p>
        </w:tc>
        <w:tc>
          <w:tcPr>
            <w:tcW w:w="1736" w:type="dxa"/>
            <w:noWrap/>
          </w:tcPr>
          <w:p w14:paraId="754BA828" w14:textId="0EF86B15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0,03%</w:t>
            </w:r>
          </w:p>
        </w:tc>
        <w:tc>
          <w:tcPr>
            <w:tcW w:w="1737" w:type="dxa"/>
            <w:noWrap/>
          </w:tcPr>
          <w:p w14:paraId="727F00A9" w14:textId="6B30AFB6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0,02%</w:t>
            </w:r>
          </w:p>
        </w:tc>
        <w:tc>
          <w:tcPr>
            <w:tcW w:w="1736" w:type="dxa"/>
            <w:noWrap/>
          </w:tcPr>
          <w:p w14:paraId="0D495699" w14:textId="45D1C3F7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0,01%</w:t>
            </w:r>
          </w:p>
        </w:tc>
        <w:tc>
          <w:tcPr>
            <w:tcW w:w="1737" w:type="dxa"/>
            <w:noWrap/>
          </w:tcPr>
          <w:p w14:paraId="518BE128" w14:textId="1B57B579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26</w:t>
            </w:r>
          </w:p>
        </w:tc>
      </w:tr>
      <w:tr w:rsidR="00947C3F" w:rsidRPr="00CE7986" w14:paraId="5F16DBDA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7395796" w14:textId="0ED9952A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Societe Generale</w:t>
            </w:r>
          </w:p>
        </w:tc>
        <w:tc>
          <w:tcPr>
            <w:tcW w:w="1736" w:type="dxa"/>
            <w:noWrap/>
          </w:tcPr>
          <w:p w14:paraId="1DE214A6" w14:textId="4C3C143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0,02%</w:t>
            </w:r>
          </w:p>
        </w:tc>
        <w:tc>
          <w:tcPr>
            <w:tcW w:w="1737" w:type="dxa"/>
            <w:noWrap/>
          </w:tcPr>
          <w:p w14:paraId="053EE126" w14:textId="37DF94E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2,03%</w:t>
            </w:r>
          </w:p>
        </w:tc>
        <w:tc>
          <w:tcPr>
            <w:tcW w:w="1736" w:type="dxa"/>
            <w:noWrap/>
          </w:tcPr>
          <w:p w14:paraId="58503529" w14:textId="175F9053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-2,01%</w:t>
            </w:r>
          </w:p>
        </w:tc>
        <w:tc>
          <w:tcPr>
            <w:tcW w:w="1737" w:type="dxa"/>
            <w:noWrap/>
          </w:tcPr>
          <w:p w14:paraId="1814553E" w14:textId="48307B0C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14</w:t>
            </w:r>
          </w:p>
        </w:tc>
      </w:tr>
      <w:tr w:rsidR="00947C3F" w:rsidRPr="00CE7986" w14:paraId="33D748C2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AFD1A1B" w14:textId="06ED4C5C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UBS Ltd</w:t>
            </w:r>
          </w:p>
        </w:tc>
        <w:tc>
          <w:tcPr>
            <w:tcW w:w="1736" w:type="dxa"/>
            <w:noWrap/>
          </w:tcPr>
          <w:p w14:paraId="2ADF4478" w14:textId="58972675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0,02%</w:t>
            </w:r>
          </w:p>
        </w:tc>
        <w:tc>
          <w:tcPr>
            <w:tcW w:w="1737" w:type="dxa"/>
            <w:noWrap/>
          </w:tcPr>
          <w:p w14:paraId="52526E15" w14:textId="39AB49D2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3,73%</w:t>
            </w:r>
          </w:p>
        </w:tc>
        <w:tc>
          <w:tcPr>
            <w:tcW w:w="1736" w:type="dxa"/>
            <w:noWrap/>
          </w:tcPr>
          <w:p w14:paraId="3F560833" w14:textId="7B3BC5A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-3,71%</w:t>
            </w:r>
          </w:p>
        </w:tc>
        <w:tc>
          <w:tcPr>
            <w:tcW w:w="1737" w:type="dxa"/>
            <w:noWrap/>
          </w:tcPr>
          <w:p w14:paraId="62856DEF" w14:textId="3F1B1CCB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10</w:t>
            </w:r>
          </w:p>
        </w:tc>
      </w:tr>
      <w:tr w:rsidR="00947C3F" w:rsidRPr="00CE7986" w14:paraId="73A7CE59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50F19A2" w14:textId="0E2C7256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Morgan Stanley</w:t>
            </w:r>
          </w:p>
        </w:tc>
        <w:tc>
          <w:tcPr>
            <w:tcW w:w="1736" w:type="dxa"/>
            <w:noWrap/>
          </w:tcPr>
          <w:p w14:paraId="0F574FEB" w14:textId="5A2B17DF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23A1ABB6" w14:textId="423F9C8E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6" w:type="dxa"/>
            <w:noWrap/>
          </w:tcPr>
          <w:p w14:paraId="0C452795" w14:textId="1D65C58F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540C3706" w14:textId="6458CDD9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28</w:t>
            </w:r>
          </w:p>
        </w:tc>
      </w:tr>
      <w:tr w:rsidR="00947C3F" w:rsidRPr="00CE7986" w14:paraId="6FAB0395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7A41F20" w14:textId="3DDDE1F0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Citigroup</w:t>
            </w:r>
          </w:p>
        </w:tc>
        <w:tc>
          <w:tcPr>
            <w:tcW w:w="1736" w:type="dxa"/>
            <w:noWrap/>
          </w:tcPr>
          <w:p w14:paraId="3E4ACC97" w14:textId="04318171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56979F03" w14:textId="7A3F89F0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2,98%</w:t>
            </w:r>
          </w:p>
        </w:tc>
        <w:tc>
          <w:tcPr>
            <w:tcW w:w="1736" w:type="dxa"/>
            <w:noWrap/>
          </w:tcPr>
          <w:p w14:paraId="11BC0DFC" w14:textId="729BBDBC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-2,98%</w:t>
            </w:r>
          </w:p>
        </w:tc>
        <w:tc>
          <w:tcPr>
            <w:tcW w:w="1737" w:type="dxa"/>
            <w:noWrap/>
          </w:tcPr>
          <w:p w14:paraId="7671327E" w14:textId="5BCAD7BF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13</w:t>
            </w:r>
          </w:p>
        </w:tc>
      </w:tr>
      <w:tr w:rsidR="00947C3F" w:rsidRPr="00CE7986" w14:paraId="74175CA2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EB5560E" w14:textId="0FC39D5F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UBI Banca</w:t>
            </w:r>
          </w:p>
        </w:tc>
        <w:tc>
          <w:tcPr>
            <w:tcW w:w="1736" w:type="dxa"/>
            <w:noWrap/>
          </w:tcPr>
          <w:p w14:paraId="5DB3125A" w14:textId="5E78F6F6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39D3FA89" w14:textId="61A73712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6" w:type="dxa"/>
            <w:noWrap/>
          </w:tcPr>
          <w:p w14:paraId="143F2C91" w14:textId="66F8A978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569D8580" w14:textId="6C8A4B11" w:rsidR="00947C3F" w:rsidRPr="00030E50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29</w:t>
            </w:r>
          </w:p>
        </w:tc>
      </w:tr>
      <w:tr w:rsidR="00947C3F" w:rsidRPr="00CE7986" w14:paraId="6DB72746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F49AA96" w14:textId="106EA94A" w:rsidR="00947C3F" w:rsidRPr="00030E50" w:rsidRDefault="00947C3F" w:rsidP="00947C3F">
            <w:pPr>
              <w:rPr>
                <w:sz w:val="20"/>
                <w:szCs w:val="20"/>
              </w:rPr>
            </w:pPr>
            <w:r w:rsidRPr="000C584E">
              <w:t>Deutsche Bank AG</w:t>
            </w:r>
          </w:p>
        </w:tc>
        <w:tc>
          <w:tcPr>
            <w:tcW w:w="1736" w:type="dxa"/>
            <w:noWrap/>
          </w:tcPr>
          <w:p w14:paraId="08222086" w14:textId="006134C2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0C584E">
              <w:t>0,00%</w:t>
            </w:r>
          </w:p>
        </w:tc>
        <w:tc>
          <w:tcPr>
            <w:tcW w:w="1737" w:type="dxa"/>
            <w:noWrap/>
          </w:tcPr>
          <w:p w14:paraId="20467AF7" w14:textId="2C31A4C9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0,41%</w:t>
            </w:r>
          </w:p>
        </w:tc>
        <w:tc>
          <w:tcPr>
            <w:tcW w:w="1736" w:type="dxa"/>
            <w:noWrap/>
          </w:tcPr>
          <w:p w14:paraId="4AE817BE" w14:textId="078B703E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-0,41%</w:t>
            </w:r>
          </w:p>
        </w:tc>
        <w:tc>
          <w:tcPr>
            <w:tcW w:w="1737" w:type="dxa"/>
            <w:noWrap/>
          </w:tcPr>
          <w:p w14:paraId="44E3AED6" w14:textId="0B5DA563" w:rsidR="00947C3F" w:rsidRPr="00030E50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84E">
              <w:t>21</w:t>
            </w:r>
          </w:p>
        </w:tc>
      </w:tr>
      <w:tr w:rsidR="00C33F16" w:rsidRPr="00CE7986" w14:paraId="73D21A45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66A98F9" w14:textId="4241043F" w:rsidR="00C33F16" w:rsidRPr="00030E50" w:rsidRDefault="00C33F16" w:rsidP="00C33F16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27B5BB3" w14:textId="48DC3098" w:rsidR="00C33F16" w:rsidRPr="00030E50" w:rsidRDefault="00C33F16" w:rsidP="00C3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179DAAA" w14:textId="23CB49D5" w:rsidR="00C33F16" w:rsidRPr="00030E50" w:rsidRDefault="00C33F16" w:rsidP="00C3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AC6702B" w14:textId="0C012A95" w:rsidR="00C33F16" w:rsidRPr="00030E50" w:rsidRDefault="00C33F16" w:rsidP="00C3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9C9F53E" w14:textId="22FAD66F" w:rsidR="00C33F16" w:rsidRPr="00030E50" w:rsidRDefault="00C33F16" w:rsidP="00C3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33F16" w:rsidRPr="00CE7986" w14:paraId="2447D635" w14:textId="77777777" w:rsidTr="005D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E46C599" w14:textId="070312E5" w:rsidR="00C33F16" w:rsidRPr="00030E50" w:rsidRDefault="00C33F16" w:rsidP="00C33F16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C175439" w14:textId="094068D9" w:rsidR="00C33F16" w:rsidRPr="00030E50" w:rsidRDefault="00C33F16" w:rsidP="00C3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6070027" w14:textId="0629B639" w:rsidR="00C33F16" w:rsidRPr="00030E50" w:rsidRDefault="00C33F16" w:rsidP="00C3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59D8BCB" w14:textId="40AB4959" w:rsidR="00C33F16" w:rsidRPr="00030E50" w:rsidRDefault="00C33F16" w:rsidP="00C3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808CA5B" w14:textId="534CB43C" w:rsidR="00C33F16" w:rsidRPr="00030E50" w:rsidRDefault="00C33F16" w:rsidP="00C3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D1739" w:rsidRPr="00CE7986" w14:paraId="6F55EAFD" w14:textId="77777777" w:rsidTr="005D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2F17E3A" w14:textId="77777777" w:rsidR="005D1739" w:rsidRPr="00CE7986" w:rsidRDefault="005D1739" w:rsidP="005D173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5846225" w14:textId="64880B9D" w:rsidR="005D1739" w:rsidRPr="00CE7986" w:rsidRDefault="005D1739" w:rsidP="00C7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2B5EEA6" w14:textId="74F134EB" w:rsidR="005D1739" w:rsidRPr="00CE7986" w:rsidRDefault="005D1739" w:rsidP="00C7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8911B8B" w14:textId="77777777" w:rsidR="005D1739" w:rsidRPr="00CE7986" w:rsidRDefault="005D1739" w:rsidP="00C7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1DA50AE" w14:textId="77777777" w:rsidR="005D1739" w:rsidRPr="00CE7986" w:rsidRDefault="005D1739" w:rsidP="00C7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D63C7" w:rsidRPr="00CE7986" w14:paraId="64AC40A8" w14:textId="77777777" w:rsidTr="0003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E24EC90" w14:textId="77777777" w:rsidR="002D63C7" w:rsidRPr="00CE7986" w:rsidRDefault="002D63C7" w:rsidP="00030E5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9942581" w14:textId="77777777" w:rsidR="002D63C7" w:rsidRPr="00CE7986" w:rsidRDefault="002D63C7" w:rsidP="00C7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36FB3DC" w14:textId="77777777" w:rsidR="002D63C7" w:rsidRPr="00CE7986" w:rsidRDefault="002D63C7" w:rsidP="00C7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F53CB46" w14:textId="77777777" w:rsidR="002D63C7" w:rsidRPr="00CE7986" w:rsidRDefault="002D63C7" w:rsidP="00C7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CAA19CA" w14:textId="77777777" w:rsidR="002D63C7" w:rsidRPr="00CE7986" w:rsidRDefault="002D63C7" w:rsidP="00C7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947C3F" w:rsidRPr="00CE7986" w14:paraId="48240B74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F396AE9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8C74C7B" w14:textId="2C99F184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83,20%</w:t>
            </w:r>
          </w:p>
        </w:tc>
        <w:tc>
          <w:tcPr>
            <w:tcW w:w="1737" w:type="dxa"/>
            <w:noWrap/>
            <w:vAlign w:val="bottom"/>
          </w:tcPr>
          <w:p w14:paraId="30CDCA60" w14:textId="28D315D8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84,05%</w:t>
            </w:r>
          </w:p>
        </w:tc>
        <w:tc>
          <w:tcPr>
            <w:tcW w:w="1736" w:type="dxa"/>
            <w:noWrap/>
          </w:tcPr>
          <w:p w14:paraId="61D9877C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12F8C3E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9D82E65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E7986" w14:paraId="54EA1CA0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5789695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E35AD51" w14:textId="285C4B7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4C46D870" w14:textId="7648936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947C3F" w:rsidRPr="00CE7986" w14:paraId="1A17D63F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458FB18" w14:textId="5F27AFDC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54A5A0CF" w14:textId="2EF7E6B8" w:rsidR="00947C3F" w:rsidRPr="00A4691E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50,88%</w:t>
            </w:r>
          </w:p>
        </w:tc>
        <w:tc>
          <w:tcPr>
            <w:tcW w:w="2977" w:type="dxa"/>
            <w:vAlign w:val="bottom"/>
          </w:tcPr>
          <w:p w14:paraId="7116FDE9" w14:textId="775AF942" w:rsidR="00947C3F" w:rsidRPr="00C83B26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45,32%</w:t>
            </w:r>
          </w:p>
        </w:tc>
      </w:tr>
      <w:tr w:rsidR="00947C3F" w:rsidRPr="00CE7986" w14:paraId="1B0BCDF2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F82F971" w14:textId="32943F6A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EA8339F" w14:textId="78193FB3" w:rsidR="00947C3F" w:rsidRPr="00A4691E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74,28%</w:t>
            </w:r>
          </w:p>
        </w:tc>
        <w:tc>
          <w:tcPr>
            <w:tcW w:w="2977" w:type="dxa"/>
            <w:vAlign w:val="bottom"/>
          </w:tcPr>
          <w:p w14:paraId="15D15738" w14:textId="7BADB76D" w:rsidR="00947C3F" w:rsidRPr="00C83B26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69,11%</w:t>
            </w:r>
          </w:p>
        </w:tc>
      </w:tr>
    </w:tbl>
    <w:p w14:paraId="2EE88525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E7986" w14:paraId="1BB3D6AB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948BA2E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61B331A" w14:textId="6142F68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3C8455B8" w14:textId="611B4D6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3BD9558D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Variazione</w:t>
            </w:r>
          </w:p>
        </w:tc>
      </w:tr>
      <w:tr w:rsidR="00947C3F" w:rsidRPr="00CE7986" w14:paraId="5E979E8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D3F2CCB" w14:textId="611FC5DE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 xml:space="preserve">Controvalori c/terzi </w:t>
            </w:r>
          </w:p>
        </w:tc>
        <w:tc>
          <w:tcPr>
            <w:tcW w:w="2192" w:type="dxa"/>
            <w:vAlign w:val="bottom"/>
          </w:tcPr>
          <w:p w14:paraId="5BA65D4F" w14:textId="00C7F265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211.253.281.734</w:t>
            </w:r>
          </w:p>
        </w:tc>
        <w:tc>
          <w:tcPr>
            <w:tcW w:w="2460" w:type="dxa"/>
            <w:vAlign w:val="bottom"/>
          </w:tcPr>
          <w:p w14:paraId="18567951" w14:textId="11AAB54E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249.796.491.249</w:t>
            </w:r>
          </w:p>
        </w:tc>
        <w:tc>
          <w:tcPr>
            <w:tcW w:w="2259" w:type="dxa"/>
            <w:vAlign w:val="bottom"/>
          </w:tcPr>
          <w:p w14:paraId="4878D531" w14:textId="5CFA360B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-15,43%</w:t>
            </w:r>
          </w:p>
        </w:tc>
      </w:tr>
      <w:tr w:rsidR="00947C3F" w:rsidRPr="00CE7986" w14:paraId="065AB4F6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9AA7AAF" w14:textId="4EC6C3B0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1C318842" w14:textId="05F83EFF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24.306.044</w:t>
            </w:r>
          </w:p>
        </w:tc>
        <w:tc>
          <w:tcPr>
            <w:tcW w:w="2460" w:type="dxa"/>
            <w:vAlign w:val="bottom"/>
          </w:tcPr>
          <w:p w14:paraId="3345090B" w14:textId="1F956327" w:rsidR="00947C3F" w:rsidRPr="00C83B26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30.518.555</w:t>
            </w:r>
          </w:p>
        </w:tc>
        <w:tc>
          <w:tcPr>
            <w:tcW w:w="2259" w:type="dxa"/>
            <w:vAlign w:val="bottom"/>
          </w:tcPr>
          <w:p w14:paraId="7A78C641" w14:textId="41099095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-20,36%</w:t>
            </w:r>
          </w:p>
        </w:tc>
      </w:tr>
      <w:tr w:rsidR="00947C3F" w:rsidRPr="00CE7986" w14:paraId="35E53B73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0DCF2E5" w14:textId="46F34DDC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75F1782" w14:textId="26FC6D8F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8.691</w:t>
            </w:r>
          </w:p>
        </w:tc>
        <w:tc>
          <w:tcPr>
            <w:tcW w:w="2460" w:type="dxa"/>
            <w:vAlign w:val="bottom"/>
          </w:tcPr>
          <w:p w14:paraId="36158150" w14:textId="3D03E117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8.185</w:t>
            </w:r>
          </w:p>
        </w:tc>
        <w:tc>
          <w:tcPr>
            <w:tcW w:w="2259" w:type="dxa"/>
            <w:vAlign w:val="bottom"/>
          </w:tcPr>
          <w:p w14:paraId="720E9E8B" w14:textId="43E1C299" w:rsidR="00947C3F" w:rsidRPr="00C83B2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626757B" w14:textId="77777777" w:rsidR="00B2004F" w:rsidRPr="00B2004F" w:rsidRDefault="00B2004F" w:rsidP="00B2004F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DOMESTICMOT </w:t>
      </w:r>
      <w:r w:rsidR="00BE3EDD">
        <w:rPr>
          <w:color w:val="4F81BD" w:themeColor="accent1"/>
        </w:rPr>
        <w:t xml:space="preserve">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  <w:r w:rsidR="000966D1">
        <w:rPr>
          <w:color w:val="4F81BD" w:themeColor="accent1"/>
        </w:rPr>
        <w:t xml:space="preserve"> </w:t>
      </w:r>
    </w:p>
    <w:p w14:paraId="7C75CD31" w14:textId="77777777" w:rsidR="00C07DDA" w:rsidRPr="00AF18EC" w:rsidRDefault="00C07DDA" w:rsidP="00AF18EC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48306B9C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E4DC504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88BF9CE" w14:textId="0F689B2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CFB1506" w14:textId="378B428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57626211" w14:textId="2CD10BF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7857C87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7483546" w14:textId="5AB1D57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947C3F" w:rsidRPr="00CE7986" w14:paraId="3FD39AEE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9D2DD2" w14:textId="5C4C2E96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CF38538" w14:textId="71A42155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19,17%</w:t>
            </w:r>
          </w:p>
        </w:tc>
        <w:tc>
          <w:tcPr>
            <w:tcW w:w="1737" w:type="dxa"/>
            <w:noWrap/>
            <w:vAlign w:val="bottom"/>
          </w:tcPr>
          <w:p w14:paraId="454A6419" w14:textId="409FA8D9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16,46%</w:t>
            </w:r>
          </w:p>
        </w:tc>
        <w:tc>
          <w:tcPr>
            <w:tcW w:w="1736" w:type="dxa"/>
            <w:noWrap/>
            <w:vAlign w:val="bottom"/>
          </w:tcPr>
          <w:p w14:paraId="51EEFA1C" w14:textId="481D671F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2,71%</w:t>
            </w:r>
          </w:p>
        </w:tc>
        <w:tc>
          <w:tcPr>
            <w:tcW w:w="1737" w:type="dxa"/>
            <w:noWrap/>
            <w:vAlign w:val="bottom"/>
          </w:tcPr>
          <w:p w14:paraId="57FDD4A5" w14:textId="2B09E562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47C3F" w:rsidRPr="00CE7986" w14:paraId="3F1EE144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EB5FE6" w14:textId="35B1A144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67CAC050" w14:textId="7A847E2C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15,06%</w:t>
            </w:r>
          </w:p>
        </w:tc>
        <w:tc>
          <w:tcPr>
            <w:tcW w:w="1737" w:type="dxa"/>
            <w:noWrap/>
            <w:vAlign w:val="bottom"/>
          </w:tcPr>
          <w:p w14:paraId="68409B05" w14:textId="47E96155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12,41%</w:t>
            </w:r>
          </w:p>
        </w:tc>
        <w:tc>
          <w:tcPr>
            <w:tcW w:w="1736" w:type="dxa"/>
            <w:noWrap/>
            <w:vAlign w:val="bottom"/>
          </w:tcPr>
          <w:p w14:paraId="1188067B" w14:textId="5F47E3C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2,65%</w:t>
            </w:r>
          </w:p>
        </w:tc>
        <w:tc>
          <w:tcPr>
            <w:tcW w:w="1737" w:type="dxa"/>
            <w:noWrap/>
            <w:vAlign w:val="bottom"/>
          </w:tcPr>
          <w:p w14:paraId="2A6D533C" w14:textId="63F92FD7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47C3F" w:rsidRPr="00CE7986" w14:paraId="3BA7199E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EB4B796" w14:textId="69AD24F1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15F3ACB8" w14:textId="326F299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13,64%</w:t>
            </w:r>
          </w:p>
        </w:tc>
        <w:tc>
          <w:tcPr>
            <w:tcW w:w="1737" w:type="dxa"/>
            <w:noWrap/>
            <w:vAlign w:val="bottom"/>
          </w:tcPr>
          <w:p w14:paraId="4035BD4D" w14:textId="6D9B38E1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11,89%</w:t>
            </w:r>
          </w:p>
        </w:tc>
        <w:tc>
          <w:tcPr>
            <w:tcW w:w="1736" w:type="dxa"/>
            <w:noWrap/>
            <w:vAlign w:val="bottom"/>
          </w:tcPr>
          <w:p w14:paraId="68ABFE20" w14:textId="76E20453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1,74%</w:t>
            </w:r>
          </w:p>
        </w:tc>
        <w:tc>
          <w:tcPr>
            <w:tcW w:w="1737" w:type="dxa"/>
            <w:noWrap/>
            <w:vAlign w:val="bottom"/>
          </w:tcPr>
          <w:p w14:paraId="2940F295" w14:textId="57CCD644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47C3F" w:rsidRPr="00CE7986" w14:paraId="6A3E62DC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8E93EC" w14:textId="6844E11E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3CCD9030" w14:textId="357D23C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10,09%</w:t>
            </w:r>
          </w:p>
        </w:tc>
        <w:tc>
          <w:tcPr>
            <w:tcW w:w="1737" w:type="dxa"/>
            <w:noWrap/>
            <w:vAlign w:val="bottom"/>
          </w:tcPr>
          <w:p w14:paraId="352157E8" w14:textId="1CD14D27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12,86%</w:t>
            </w:r>
          </w:p>
        </w:tc>
        <w:tc>
          <w:tcPr>
            <w:tcW w:w="1736" w:type="dxa"/>
            <w:noWrap/>
            <w:vAlign w:val="bottom"/>
          </w:tcPr>
          <w:p w14:paraId="5B362A48" w14:textId="248980D3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-2,77%</w:t>
            </w:r>
          </w:p>
        </w:tc>
        <w:tc>
          <w:tcPr>
            <w:tcW w:w="1737" w:type="dxa"/>
            <w:noWrap/>
            <w:vAlign w:val="bottom"/>
          </w:tcPr>
          <w:p w14:paraId="4801058A" w14:textId="4A1FE635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47C3F" w:rsidRPr="00CE7986" w14:paraId="53906D27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63890E" w14:textId="44CF6B00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38DD6F2" w14:textId="6448C07B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6,72%</w:t>
            </w:r>
          </w:p>
        </w:tc>
        <w:tc>
          <w:tcPr>
            <w:tcW w:w="1737" w:type="dxa"/>
            <w:noWrap/>
            <w:vAlign w:val="bottom"/>
          </w:tcPr>
          <w:p w14:paraId="537BDB4D" w14:textId="560D149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5,69%</w:t>
            </w:r>
          </w:p>
        </w:tc>
        <w:tc>
          <w:tcPr>
            <w:tcW w:w="1736" w:type="dxa"/>
            <w:noWrap/>
            <w:vAlign w:val="bottom"/>
          </w:tcPr>
          <w:p w14:paraId="51990D8F" w14:textId="4EDB9988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7" w:type="dxa"/>
            <w:noWrap/>
            <w:vAlign w:val="bottom"/>
          </w:tcPr>
          <w:p w14:paraId="77AA1910" w14:textId="599DC47B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47C3F" w:rsidRPr="00CE7986" w14:paraId="70C3F4F2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B85233" w14:textId="148786DE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83650FC" w14:textId="2E4DA082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5,82%</w:t>
            </w:r>
          </w:p>
        </w:tc>
        <w:tc>
          <w:tcPr>
            <w:tcW w:w="1737" w:type="dxa"/>
            <w:noWrap/>
            <w:vAlign w:val="bottom"/>
          </w:tcPr>
          <w:p w14:paraId="66CDA0F2" w14:textId="731354FE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4,12%</w:t>
            </w:r>
          </w:p>
        </w:tc>
        <w:tc>
          <w:tcPr>
            <w:tcW w:w="1736" w:type="dxa"/>
            <w:noWrap/>
            <w:vAlign w:val="bottom"/>
          </w:tcPr>
          <w:p w14:paraId="79A4561A" w14:textId="47B09633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1,70%</w:t>
            </w:r>
          </w:p>
        </w:tc>
        <w:tc>
          <w:tcPr>
            <w:tcW w:w="1737" w:type="dxa"/>
            <w:noWrap/>
            <w:vAlign w:val="bottom"/>
          </w:tcPr>
          <w:p w14:paraId="30881CC1" w14:textId="5C7EFB2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47C3F" w:rsidRPr="00CE7986" w14:paraId="4FD27DDC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98EA24" w14:textId="0E7675E5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0D5B353B" w14:textId="71957A6D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5,29%</w:t>
            </w:r>
          </w:p>
        </w:tc>
        <w:tc>
          <w:tcPr>
            <w:tcW w:w="1737" w:type="dxa"/>
            <w:noWrap/>
            <w:vAlign w:val="bottom"/>
          </w:tcPr>
          <w:p w14:paraId="7F15DD37" w14:textId="0E869632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6,19%</w:t>
            </w:r>
          </w:p>
        </w:tc>
        <w:tc>
          <w:tcPr>
            <w:tcW w:w="1736" w:type="dxa"/>
            <w:noWrap/>
            <w:vAlign w:val="bottom"/>
          </w:tcPr>
          <w:p w14:paraId="04D47D72" w14:textId="5C3CB389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-0,90%</w:t>
            </w:r>
          </w:p>
        </w:tc>
        <w:tc>
          <w:tcPr>
            <w:tcW w:w="1737" w:type="dxa"/>
            <w:noWrap/>
            <w:vAlign w:val="bottom"/>
          </w:tcPr>
          <w:p w14:paraId="66DD38A2" w14:textId="1FC07187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47C3F" w:rsidRPr="00CE7986" w14:paraId="65FD6C30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33470C" w14:textId="34D00AF4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F39874E" w14:textId="2C411459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3,80%</w:t>
            </w:r>
          </w:p>
        </w:tc>
        <w:tc>
          <w:tcPr>
            <w:tcW w:w="1737" w:type="dxa"/>
            <w:noWrap/>
            <w:vAlign w:val="bottom"/>
          </w:tcPr>
          <w:p w14:paraId="7D087D0B" w14:textId="57B66EC6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2,32%</w:t>
            </w:r>
          </w:p>
        </w:tc>
        <w:tc>
          <w:tcPr>
            <w:tcW w:w="1736" w:type="dxa"/>
            <w:noWrap/>
            <w:vAlign w:val="bottom"/>
          </w:tcPr>
          <w:p w14:paraId="49B21AAA" w14:textId="0CC496F9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7" w:type="dxa"/>
            <w:noWrap/>
            <w:vAlign w:val="bottom"/>
          </w:tcPr>
          <w:p w14:paraId="50B5B569" w14:textId="6CE0774A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47C3F" w:rsidRPr="00CE7986" w14:paraId="0919B292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2C4E9F" w14:textId="7A4D51DB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CD0F3CB" w14:textId="034A480E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3,55%</w:t>
            </w:r>
          </w:p>
        </w:tc>
        <w:tc>
          <w:tcPr>
            <w:tcW w:w="1737" w:type="dxa"/>
            <w:noWrap/>
            <w:vAlign w:val="bottom"/>
          </w:tcPr>
          <w:p w14:paraId="672577E7" w14:textId="53BB008D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3,90%</w:t>
            </w:r>
          </w:p>
        </w:tc>
        <w:tc>
          <w:tcPr>
            <w:tcW w:w="1736" w:type="dxa"/>
            <w:noWrap/>
            <w:vAlign w:val="bottom"/>
          </w:tcPr>
          <w:p w14:paraId="2375CBDC" w14:textId="4810F54B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-0,35%</w:t>
            </w:r>
          </w:p>
        </w:tc>
        <w:tc>
          <w:tcPr>
            <w:tcW w:w="1737" w:type="dxa"/>
            <w:noWrap/>
            <w:vAlign w:val="bottom"/>
          </w:tcPr>
          <w:p w14:paraId="791A82D2" w14:textId="4D9F2772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47C3F" w:rsidRPr="00CE7986" w14:paraId="0EE696B5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E43D51" w14:textId="6DB91B26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041121B3" w14:textId="71537FB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3,11%</w:t>
            </w:r>
          </w:p>
        </w:tc>
        <w:tc>
          <w:tcPr>
            <w:tcW w:w="1737" w:type="dxa"/>
            <w:noWrap/>
            <w:vAlign w:val="bottom"/>
          </w:tcPr>
          <w:p w14:paraId="20467844" w14:textId="2B581DC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2,49%</w:t>
            </w:r>
          </w:p>
        </w:tc>
        <w:tc>
          <w:tcPr>
            <w:tcW w:w="1736" w:type="dxa"/>
            <w:noWrap/>
            <w:vAlign w:val="bottom"/>
          </w:tcPr>
          <w:p w14:paraId="4A8090EF" w14:textId="6E7A091E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0,62%</w:t>
            </w:r>
          </w:p>
        </w:tc>
        <w:tc>
          <w:tcPr>
            <w:tcW w:w="1737" w:type="dxa"/>
            <w:noWrap/>
            <w:vAlign w:val="bottom"/>
          </w:tcPr>
          <w:p w14:paraId="4144FE8F" w14:textId="5ABCB0D8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47C3F" w:rsidRPr="00CE7986" w14:paraId="4C22535A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3060AA" w14:textId="13D92C82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3DF93B77" w14:textId="0D8D2922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3,05%</w:t>
            </w:r>
          </w:p>
        </w:tc>
        <w:tc>
          <w:tcPr>
            <w:tcW w:w="1737" w:type="dxa"/>
            <w:noWrap/>
            <w:vAlign w:val="bottom"/>
          </w:tcPr>
          <w:p w14:paraId="1D6B18AD" w14:textId="7B6FAFC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3,26%</w:t>
            </w:r>
          </w:p>
        </w:tc>
        <w:tc>
          <w:tcPr>
            <w:tcW w:w="1736" w:type="dxa"/>
            <w:noWrap/>
            <w:vAlign w:val="bottom"/>
          </w:tcPr>
          <w:p w14:paraId="309E7386" w14:textId="06B74880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-0,21%</w:t>
            </w:r>
          </w:p>
        </w:tc>
        <w:tc>
          <w:tcPr>
            <w:tcW w:w="1737" w:type="dxa"/>
            <w:noWrap/>
            <w:vAlign w:val="bottom"/>
          </w:tcPr>
          <w:p w14:paraId="49C2AAE1" w14:textId="40651CDC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47C3F" w:rsidRPr="00CE7986" w14:paraId="69BB313C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E486D3" w14:textId="0210ECE8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69153267" w14:textId="5E5D309C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2,54%</w:t>
            </w:r>
          </w:p>
        </w:tc>
        <w:tc>
          <w:tcPr>
            <w:tcW w:w="1737" w:type="dxa"/>
            <w:noWrap/>
            <w:vAlign w:val="bottom"/>
          </w:tcPr>
          <w:p w14:paraId="6D3B8CE1" w14:textId="381EB095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2,37%</w:t>
            </w:r>
          </w:p>
        </w:tc>
        <w:tc>
          <w:tcPr>
            <w:tcW w:w="1736" w:type="dxa"/>
            <w:noWrap/>
            <w:vAlign w:val="bottom"/>
          </w:tcPr>
          <w:p w14:paraId="2098906C" w14:textId="0C6921C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17E93C4E" w14:textId="38421E2C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47C3F" w:rsidRPr="00CE7986" w14:paraId="3DD46062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5CADC7" w14:textId="5B8C4504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783831B" w14:textId="2F408BC9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1,98%</w:t>
            </w:r>
          </w:p>
        </w:tc>
        <w:tc>
          <w:tcPr>
            <w:tcW w:w="1737" w:type="dxa"/>
            <w:noWrap/>
            <w:vAlign w:val="bottom"/>
          </w:tcPr>
          <w:p w14:paraId="0B499E85" w14:textId="5A3F75FC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6" w:type="dxa"/>
            <w:noWrap/>
            <w:vAlign w:val="bottom"/>
          </w:tcPr>
          <w:p w14:paraId="22530399" w14:textId="4F9E27D4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65BDCFA9" w14:textId="016ABD59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47C3F" w:rsidRPr="00CE7986" w14:paraId="0C8926B7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826F36" w14:textId="76EE9DD3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01F13BC5" w14:textId="3B29A516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1,54%</w:t>
            </w:r>
          </w:p>
        </w:tc>
        <w:tc>
          <w:tcPr>
            <w:tcW w:w="1737" w:type="dxa"/>
            <w:noWrap/>
            <w:vAlign w:val="bottom"/>
          </w:tcPr>
          <w:p w14:paraId="1E8E9D2E" w14:textId="47AEFE8E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6" w:type="dxa"/>
            <w:noWrap/>
            <w:vAlign w:val="bottom"/>
          </w:tcPr>
          <w:p w14:paraId="6030B26C" w14:textId="1F6864F4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-0,54%</w:t>
            </w:r>
          </w:p>
        </w:tc>
        <w:tc>
          <w:tcPr>
            <w:tcW w:w="1737" w:type="dxa"/>
            <w:noWrap/>
            <w:vAlign w:val="bottom"/>
          </w:tcPr>
          <w:p w14:paraId="4739B95E" w14:textId="02F5B68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47C3F" w:rsidRPr="00CE7986" w14:paraId="35937895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9EEC9D" w14:textId="27689411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5FE7E401" w14:textId="7205120A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0,92%</w:t>
            </w:r>
          </w:p>
        </w:tc>
        <w:tc>
          <w:tcPr>
            <w:tcW w:w="1737" w:type="dxa"/>
            <w:noWrap/>
            <w:vAlign w:val="bottom"/>
          </w:tcPr>
          <w:p w14:paraId="5E22D134" w14:textId="4791ED83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6" w:type="dxa"/>
            <w:noWrap/>
            <w:vAlign w:val="bottom"/>
          </w:tcPr>
          <w:p w14:paraId="78C0A5BB" w14:textId="44519960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7" w:type="dxa"/>
            <w:noWrap/>
            <w:vAlign w:val="bottom"/>
          </w:tcPr>
          <w:p w14:paraId="11A30214" w14:textId="0975C91A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947C3F" w:rsidRPr="00CE7986" w14:paraId="1063EF69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85B242" w14:textId="06B09A07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25148EC8" w14:textId="4011BF22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20B64B6D" w14:textId="03DE44DC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6" w:type="dxa"/>
            <w:noWrap/>
            <w:vAlign w:val="bottom"/>
          </w:tcPr>
          <w:p w14:paraId="0C7853FE" w14:textId="010466A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7F3ADE02" w14:textId="20E3712F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947C3F" w:rsidRPr="00CE7986" w14:paraId="3FCDDA3B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E44C36" w14:textId="5079E15B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254C8EE2" w14:textId="6EC737C2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0,54%</w:t>
            </w:r>
          </w:p>
        </w:tc>
        <w:tc>
          <w:tcPr>
            <w:tcW w:w="1737" w:type="dxa"/>
            <w:noWrap/>
            <w:vAlign w:val="bottom"/>
          </w:tcPr>
          <w:p w14:paraId="051230B9" w14:textId="6BB311F3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25E3DAA9" w14:textId="4FC47683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31485ABD" w14:textId="3F03545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947C3F" w:rsidRPr="00CE7986" w14:paraId="5C96F9F1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739CD8B" w14:textId="7DC72B6C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5F8F2B9B" w14:textId="5CD9D9AD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7" w:type="dxa"/>
            <w:noWrap/>
            <w:vAlign w:val="bottom"/>
          </w:tcPr>
          <w:p w14:paraId="1288B88C" w14:textId="2C809D09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6" w:type="dxa"/>
            <w:noWrap/>
            <w:vAlign w:val="bottom"/>
          </w:tcPr>
          <w:p w14:paraId="221C812B" w14:textId="5D153E48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7" w:type="dxa"/>
            <w:noWrap/>
            <w:vAlign w:val="bottom"/>
          </w:tcPr>
          <w:p w14:paraId="3A940BD7" w14:textId="13032C19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947C3F" w:rsidRPr="00CE7986" w14:paraId="002FE077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FF6D4A" w14:textId="7BBF69AF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0108873" w14:textId="79465E0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054F7215" w14:textId="1B920B5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6" w:type="dxa"/>
            <w:noWrap/>
            <w:vAlign w:val="bottom"/>
          </w:tcPr>
          <w:p w14:paraId="53D83BFC" w14:textId="4CC99F29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298220C5" w14:textId="6DEBB538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947C3F" w:rsidRPr="00CE7986" w14:paraId="29D1A08B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7C2DFDD" w14:textId="06941092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A1308B1" w14:textId="794C61D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7" w:type="dxa"/>
            <w:noWrap/>
            <w:vAlign w:val="bottom"/>
          </w:tcPr>
          <w:p w14:paraId="67412346" w14:textId="02517249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6" w:type="dxa"/>
            <w:noWrap/>
            <w:vAlign w:val="bottom"/>
          </w:tcPr>
          <w:p w14:paraId="48F31E61" w14:textId="099A089B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31E142EF" w14:textId="7548CA9F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47C3F" w:rsidRPr="00CE7986" w14:paraId="18395E3F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A08C68A" w14:textId="04921BF5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DB5985D" w14:textId="7447476A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6AA307C4" w14:textId="6D8B9D4C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6" w:type="dxa"/>
            <w:noWrap/>
            <w:vAlign w:val="bottom"/>
          </w:tcPr>
          <w:p w14:paraId="0B6DDE45" w14:textId="201E6D1D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10F4BE68" w14:textId="4A4CB8CB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947C3F" w:rsidRPr="00CE7986" w14:paraId="0A9DD4CA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E14EC8" w14:textId="7C5A139E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Ersel SIM</w:t>
            </w:r>
          </w:p>
        </w:tc>
        <w:tc>
          <w:tcPr>
            <w:tcW w:w="1736" w:type="dxa"/>
            <w:noWrap/>
            <w:vAlign w:val="bottom"/>
          </w:tcPr>
          <w:p w14:paraId="3D983BD4" w14:textId="26AF865E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143C0085" w14:textId="36C28244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5CECB340" w14:textId="5F0C346E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7FA57C48" w14:textId="724455F8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947C3F" w:rsidRPr="00CE7986" w14:paraId="194C79C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F8FBF5" w14:textId="42A30E85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Leonardo</w:t>
            </w:r>
          </w:p>
        </w:tc>
        <w:tc>
          <w:tcPr>
            <w:tcW w:w="1736" w:type="dxa"/>
            <w:noWrap/>
            <w:vAlign w:val="bottom"/>
          </w:tcPr>
          <w:p w14:paraId="61E6D725" w14:textId="0470CEE0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6FD88AEB" w14:textId="76BD1095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61564976" w14:textId="4E32209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-0,09%</w:t>
            </w:r>
          </w:p>
        </w:tc>
        <w:tc>
          <w:tcPr>
            <w:tcW w:w="1737" w:type="dxa"/>
            <w:noWrap/>
            <w:vAlign w:val="bottom"/>
          </w:tcPr>
          <w:p w14:paraId="464D29E1" w14:textId="7418E917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947C3F" w:rsidRPr="00CE7986" w14:paraId="7C032356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5E977E1" w14:textId="7AB305F2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08A8B461" w14:textId="40F81903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B1CA536" w14:textId="08E46AED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4FAD665" w14:textId="3DE6A99D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5FFA8FF" w14:textId="5505C99F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947C3F" w:rsidRPr="00CE7986" w14:paraId="78CA19CB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6F9F3E" w14:textId="7A462109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183CD0E3" w14:textId="6653F848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265341" w14:textId="3E68C31D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954C6B3" w14:textId="54120B06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4576BAA" w14:textId="533DB6B3" w:rsidR="00947C3F" w:rsidRPr="00333334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947C3F" w:rsidRPr="00CE7986" w14:paraId="5C43FDB5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4C740F" w14:textId="0196E2D9" w:rsidR="00947C3F" w:rsidRPr="00333334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1C0D5245" w14:textId="14894EF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619ED6B" w14:textId="72A61830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BB5FF3B" w14:textId="68FAEE52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00D60B6" w14:textId="7D95B233" w:rsidR="00947C3F" w:rsidRPr="00333334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C33F16" w:rsidRPr="00CE7986" w14:paraId="3848928A" w14:textId="77777777" w:rsidTr="00B07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768EF8E" w14:textId="74A929DB" w:rsidR="00C33F16" w:rsidRPr="00333334" w:rsidRDefault="00C33F16" w:rsidP="00C33F16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FBAFC84" w14:textId="6BC4B6E4" w:rsidR="00C33F16" w:rsidRPr="00A4691E" w:rsidRDefault="00C33F16" w:rsidP="00C33F1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3763D4D" w14:textId="21CDB5D0" w:rsidR="00C33F16" w:rsidRPr="00A4691E" w:rsidRDefault="00C33F16" w:rsidP="00C33F1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A1A9BA5" w14:textId="0F433ED2" w:rsidR="00C33F16" w:rsidRPr="00A4691E" w:rsidRDefault="00C33F16" w:rsidP="00C33F1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9D1FFA0" w14:textId="5EA8DD6B" w:rsidR="00C33F16" w:rsidRPr="00A4691E" w:rsidRDefault="00C33F16" w:rsidP="00C33F1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691E" w:rsidRPr="00CE7986" w14:paraId="1BB96F15" w14:textId="77777777" w:rsidTr="003333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32A83CF" w14:textId="70D6712C" w:rsidR="00A4691E" w:rsidRPr="00333334" w:rsidRDefault="00A4691E" w:rsidP="0033333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10F8793" w14:textId="159E314F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D0D10A" w14:textId="5CE69991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4F06724" w14:textId="124785D9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B1A951" w14:textId="08ED4A49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691E" w:rsidRPr="00CE7986" w14:paraId="74F53B4C" w14:textId="77777777" w:rsidTr="0033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3E72643" w14:textId="7D95204A" w:rsidR="00A4691E" w:rsidRPr="00333334" w:rsidRDefault="00A4691E" w:rsidP="0033333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B3A391" w14:textId="1AD1CC3E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96D99B" w14:textId="6D02ADC8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126C051" w14:textId="117FC058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6AC8EF6" w14:textId="6DC09E24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691E" w:rsidRPr="00CE7986" w14:paraId="4EDFCEF8" w14:textId="77777777" w:rsidTr="003333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EF0BAD5" w14:textId="13A39B8E" w:rsidR="00A4691E" w:rsidRPr="00333334" w:rsidRDefault="00A4691E" w:rsidP="0033333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43C70B1" w14:textId="6DD80779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DBC251F" w14:textId="4976CE60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E8E29D" w14:textId="1932B5D8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24A7E66" w14:textId="5D04B8CF" w:rsidR="00A4691E" w:rsidRPr="00A4691E" w:rsidRDefault="00A4691E" w:rsidP="00A4691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7124715E" w14:textId="77777777" w:rsidTr="0033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B13D79B" w14:textId="77777777" w:rsidR="00B2004F" w:rsidRPr="00333334" w:rsidRDefault="00B2004F" w:rsidP="0033333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3435B81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A1A49F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D955ED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664B94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7C3F" w:rsidRPr="00CE7986" w14:paraId="362FA347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1E132B" w14:textId="654DDA7B" w:rsidR="00947C3F" w:rsidRPr="00333334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33334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2D22161" w14:textId="2926735E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99,22%</w:t>
            </w:r>
          </w:p>
        </w:tc>
        <w:tc>
          <w:tcPr>
            <w:tcW w:w="1737" w:type="dxa"/>
            <w:noWrap/>
            <w:vAlign w:val="bottom"/>
          </w:tcPr>
          <w:p w14:paraId="52574806" w14:textId="43249951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84,70%</w:t>
            </w:r>
          </w:p>
        </w:tc>
        <w:tc>
          <w:tcPr>
            <w:tcW w:w="1736" w:type="dxa"/>
            <w:noWrap/>
          </w:tcPr>
          <w:p w14:paraId="7972FA73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AFF10AD" w14:textId="085CA5B6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C9799E2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E7986" w14:paraId="18CF9E3A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EF74AB1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FF94F1B" w14:textId="5E2E3667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A5C7A61" w14:textId="00E6A5D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947C3F" w:rsidRPr="00CE7986" w14:paraId="1AA1987C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FF5D961" w14:textId="6F209858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45A154ED" w14:textId="050D2E2C" w:rsidR="00947C3F" w:rsidRPr="00A4691E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64,68%</w:t>
            </w:r>
          </w:p>
        </w:tc>
        <w:tc>
          <w:tcPr>
            <w:tcW w:w="2977" w:type="dxa"/>
            <w:vAlign w:val="bottom"/>
          </w:tcPr>
          <w:p w14:paraId="5943D725" w14:textId="65B1008F" w:rsidR="00947C3F" w:rsidRPr="00A4691E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59,81%</w:t>
            </w:r>
          </w:p>
        </w:tc>
      </w:tr>
      <w:tr w:rsidR="00947C3F" w:rsidRPr="00CE7986" w14:paraId="22BABDAB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463920E" w14:textId="02DE469E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3AE70817" w14:textId="526F5F17" w:rsidR="00947C3F" w:rsidRPr="00A4691E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86,25%</w:t>
            </w:r>
          </w:p>
        </w:tc>
        <w:tc>
          <w:tcPr>
            <w:tcW w:w="2977" w:type="dxa"/>
            <w:vAlign w:val="bottom"/>
          </w:tcPr>
          <w:p w14:paraId="4C2E2E80" w14:textId="159FD9D6" w:rsidR="00947C3F" w:rsidRPr="00A4691E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79,28%</w:t>
            </w:r>
          </w:p>
        </w:tc>
      </w:tr>
    </w:tbl>
    <w:p w14:paraId="710B0270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E7986" w14:paraId="2E2E8D5B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E69812A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08D197A" w14:textId="7F4B261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00172269" w14:textId="1B4C72E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128FB565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Variazione</w:t>
            </w:r>
          </w:p>
        </w:tc>
      </w:tr>
      <w:tr w:rsidR="00947C3F" w:rsidRPr="00CE7986" w14:paraId="4A957E05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AF19CE4" w14:textId="129781B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321CAD5F" w14:textId="7B17502E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81.789.155.907</w:t>
            </w:r>
          </w:p>
        </w:tc>
        <w:tc>
          <w:tcPr>
            <w:tcW w:w="2460" w:type="dxa"/>
            <w:vAlign w:val="bottom"/>
          </w:tcPr>
          <w:p w14:paraId="1133E77D" w14:textId="486BF9B5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75.502.293.235</w:t>
            </w:r>
          </w:p>
        </w:tc>
        <w:tc>
          <w:tcPr>
            <w:tcW w:w="2259" w:type="dxa"/>
            <w:vAlign w:val="bottom"/>
          </w:tcPr>
          <w:p w14:paraId="0F444EF3" w14:textId="71577E7A" w:rsidR="00947C3F" w:rsidRPr="00835FC7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8,33%</w:t>
            </w:r>
          </w:p>
        </w:tc>
      </w:tr>
      <w:tr w:rsidR="00947C3F" w:rsidRPr="00CE7986" w14:paraId="17A1A8DE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4105311" w14:textId="6EDE883F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614F976E" w14:textId="449BF379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1.954.536</w:t>
            </w:r>
          </w:p>
        </w:tc>
        <w:tc>
          <w:tcPr>
            <w:tcW w:w="2460" w:type="dxa"/>
            <w:vAlign w:val="bottom"/>
          </w:tcPr>
          <w:p w14:paraId="45713226" w14:textId="2DD84B31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1.678.038</w:t>
            </w:r>
          </w:p>
        </w:tc>
        <w:tc>
          <w:tcPr>
            <w:tcW w:w="2259" w:type="dxa"/>
            <w:vAlign w:val="bottom"/>
          </w:tcPr>
          <w:p w14:paraId="229DB7D2" w14:textId="5DC94F4C" w:rsidR="00947C3F" w:rsidRPr="00835FC7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16,48%</w:t>
            </w:r>
          </w:p>
        </w:tc>
      </w:tr>
      <w:tr w:rsidR="00947C3F" w:rsidRPr="00CE7986" w14:paraId="7CE299D6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FD7FB41" w14:textId="18D5A33B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0BCEC5B5" w14:textId="0EF3EECE" w:rsidR="00947C3F" w:rsidRPr="00835FC7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41.846</w:t>
            </w:r>
          </w:p>
        </w:tc>
        <w:tc>
          <w:tcPr>
            <w:tcW w:w="2460" w:type="dxa"/>
            <w:vAlign w:val="bottom"/>
          </w:tcPr>
          <w:p w14:paraId="1683631C" w14:textId="3F1D004B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44.994</w:t>
            </w:r>
          </w:p>
        </w:tc>
        <w:tc>
          <w:tcPr>
            <w:tcW w:w="2259" w:type="dxa"/>
            <w:vAlign w:val="bottom"/>
          </w:tcPr>
          <w:p w14:paraId="497DDF0C" w14:textId="676E984D" w:rsidR="00947C3F" w:rsidRPr="00835FC7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C3495B7" w14:textId="77777777" w:rsidR="00B2004F" w:rsidRPr="00B2004F" w:rsidRDefault="00B2004F" w:rsidP="00B2004F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EURO</w:t>
      </w:r>
      <w:r w:rsidRPr="00B2004F">
        <w:rPr>
          <w:color w:val="4F81BD" w:themeColor="accent1"/>
        </w:rPr>
        <w:t xml:space="preserve">MOT </w:t>
      </w:r>
      <w:r w:rsidR="00BE3EDD">
        <w:rPr>
          <w:color w:val="4F81BD" w:themeColor="accent1"/>
        </w:rPr>
        <w:t xml:space="preserve">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28604168" w14:textId="77777777" w:rsidR="00C07DDA" w:rsidRPr="00AF18EC" w:rsidRDefault="00C07DDA" w:rsidP="00AF18EC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4C9E347D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FBA07E7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ECDE994" w14:textId="0881E0B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C86C999" w14:textId="0C33756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9F0F616" w14:textId="240126D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789F412D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C55A4C1" w14:textId="109454F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947C3F" w:rsidRPr="00CE7986" w14:paraId="1AE9140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5077F9" w14:textId="56394430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617801E" w14:textId="6DF9D7C7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25,33%</w:t>
            </w:r>
          </w:p>
        </w:tc>
        <w:tc>
          <w:tcPr>
            <w:tcW w:w="1737" w:type="dxa"/>
            <w:noWrap/>
            <w:vAlign w:val="bottom"/>
          </w:tcPr>
          <w:p w14:paraId="2E9AF80F" w14:textId="24D7CE2D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19,94%</w:t>
            </w:r>
          </w:p>
        </w:tc>
        <w:tc>
          <w:tcPr>
            <w:tcW w:w="1736" w:type="dxa"/>
            <w:noWrap/>
            <w:vAlign w:val="bottom"/>
          </w:tcPr>
          <w:p w14:paraId="0A2B2647" w14:textId="060D68F2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5,39%</w:t>
            </w:r>
          </w:p>
        </w:tc>
        <w:tc>
          <w:tcPr>
            <w:tcW w:w="1737" w:type="dxa"/>
            <w:noWrap/>
            <w:vAlign w:val="bottom"/>
          </w:tcPr>
          <w:p w14:paraId="34682891" w14:textId="4B7FC229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47C3F" w:rsidRPr="00CE7986" w14:paraId="602D3FAE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B2F43C" w14:textId="7F488C36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E50A6DF" w14:textId="1D37F45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23,88%</w:t>
            </w:r>
          </w:p>
        </w:tc>
        <w:tc>
          <w:tcPr>
            <w:tcW w:w="1737" w:type="dxa"/>
            <w:noWrap/>
            <w:vAlign w:val="bottom"/>
          </w:tcPr>
          <w:p w14:paraId="371E8344" w14:textId="06A5B036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27,19%</w:t>
            </w:r>
          </w:p>
        </w:tc>
        <w:tc>
          <w:tcPr>
            <w:tcW w:w="1736" w:type="dxa"/>
            <w:noWrap/>
            <w:vAlign w:val="bottom"/>
          </w:tcPr>
          <w:p w14:paraId="289EA1C5" w14:textId="1D65ABB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-3,31%</w:t>
            </w:r>
          </w:p>
        </w:tc>
        <w:tc>
          <w:tcPr>
            <w:tcW w:w="1737" w:type="dxa"/>
            <w:noWrap/>
            <w:vAlign w:val="bottom"/>
          </w:tcPr>
          <w:p w14:paraId="68B0C2C7" w14:textId="607A13E7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47C3F" w:rsidRPr="00CE7986" w14:paraId="1985563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F0EBEC" w14:textId="465A5F22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F97A449" w14:textId="14006981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7,95%</w:t>
            </w:r>
          </w:p>
        </w:tc>
        <w:tc>
          <w:tcPr>
            <w:tcW w:w="1737" w:type="dxa"/>
            <w:noWrap/>
            <w:vAlign w:val="bottom"/>
          </w:tcPr>
          <w:p w14:paraId="67865F68" w14:textId="6EDC3EA5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0,80%</w:t>
            </w:r>
          </w:p>
        </w:tc>
        <w:tc>
          <w:tcPr>
            <w:tcW w:w="1736" w:type="dxa"/>
            <w:noWrap/>
            <w:vAlign w:val="bottom"/>
          </w:tcPr>
          <w:p w14:paraId="2906FF49" w14:textId="125C3668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7,15%</w:t>
            </w:r>
          </w:p>
        </w:tc>
        <w:tc>
          <w:tcPr>
            <w:tcW w:w="1737" w:type="dxa"/>
            <w:noWrap/>
            <w:vAlign w:val="bottom"/>
          </w:tcPr>
          <w:p w14:paraId="0C7C5995" w14:textId="769FEDFF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947C3F" w:rsidRPr="00CE7986" w14:paraId="47BA3641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4A22FA" w14:textId="707A5502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562C88DE" w14:textId="201C13DB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5,92%</w:t>
            </w:r>
          </w:p>
        </w:tc>
        <w:tc>
          <w:tcPr>
            <w:tcW w:w="1737" w:type="dxa"/>
            <w:noWrap/>
            <w:vAlign w:val="bottom"/>
          </w:tcPr>
          <w:p w14:paraId="058B8165" w14:textId="70328236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6,16%</w:t>
            </w:r>
          </w:p>
        </w:tc>
        <w:tc>
          <w:tcPr>
            <w:tcW w:w="1736" w:type="dxa"/>
            <w:noWrap/>
            <w:vAlign w:val="bottom"/>
          </w:tcPr>
          <w:p w14:paraId="53EFC3E0" w14:textId="5CBA40A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-0,24%</w:t>
            </w:r>
          </w:p>
        </w:tc>
        <w:tc>
          <w:tcPr>
            <w:tcW w:w="1737" w:type="dxa"/>
            <w:noWrap/>
            <w:vAlign w:val="bottom"/>
          </w:tcPr>
          <w:p w14:paraId="303A4D74" w14:textId="704F74B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47C3F" w:rsidRPr="00CE7986" w14:paraId="2ED5E762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C030A8" w14:textId="333DDB8A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61177D16" w14:textId="671BFA33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5,78%</w:t>
            </w:r>
          </w:p>
        </w:tc>
        <w:tc>
          <w:tcPr>
            <w:tcW w:w="1737" w:type="dxa"/>
            <w:noWrap/>
            <w:vAlign w:val="bottom"/>
          </w:tcPr>
          <w:p w14:paraId="5D26AFF3" w14:textId="375A51CA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4,30%</w:t>
            </w:r>
          </w:p>
        </w:tc>
        <w:tc>
          <w:tcPr>
            <w:tcW w:w="1736" w:type="dxa"/>
            <w:noWrap/>
            <w:vAlign w:val="bottom"/>
          </w:tcPr>
          <w:p w14:paraId="3038D9E4" w14:textId="1F00955E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7" w:type="dxa"/>
            <w:noWrap/>
            <w:vAlign w:val="bottom"/>
          </w:tcPr>
          <w:p w14:paraId="100BC6CA" w14:textId="746EE899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47C3F" w:rsidRPr="00CE7986" w14:paraId="282694D0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1A76B0" w14:textId="5DDE314A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154820D9" w14:textId="3015B987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4,41%</w:t>
            </w:r>
          </w:p>
        </w:tc>
        <w:tc>
          <w:tcPr>
            <w:tcW w:w="1737" w:type="dxa"/>
            <w:noWrap/>
            <w:vAlign w:val="bottom"/>
          </w:tcPr>
          <w:p w14:paraId="0B20CF52" w14:textId="4C7B3B1F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3,73%</w:t>
            </w:r>
          </w:p>
        </w:tc>
        <w:tc>
          <w:tcPr>
            <w:tcW w:w="1736" w:type="dxa"/>
            <w:noWrap/>
            <w:vAlign w:val="bottom"/>
          </w:tcPr>
          <w:p w14:paraId="04BE2FE5" w14:textId="2E97EE41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0F401306" w14:textId="159BECDD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47C3F" w:rsidRPr="00CE7986" w14:paraId="61130C7F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27BBEA" w14:textId="19DA8512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6E60DD5E" w14:textId="6F2FD283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4,34%</w:t>
            </w:r>
          </w:p>
        </w:tc>
        <w:tc>
          <w:tcPr>
            <w:tcW w:w="1737" w:type="dxa"/>
            <w:noWrap/>
            <w:vAlign w:val="bottom"/>
          </w:tcPr>
          <w:p w14:paraId="15194594" w14:textId="18ABD6AA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4,26%</w:t>
            </w:r>
          </w:p>
        </w:tc>
        <w:tc>
          <w:tcPr>
            <w:tcW w:w="1736" w:type="dxa"/>
            <w:noWrap/>
            <w:vAlign w:val="bottom"/>
          </w:tcPr>
          <w:p w14:paraId="058EFDEF" w14:textId="135700F7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59B07205" w14:textId="0BCCC8F8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47C3F" w:rsidRPr="00CE7986" w14:paraId="780F2987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D34672" w14:textId="4A467F46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6E4242E0" w14:textId="0D8D8E94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3,72%</w:t>
            </w:r>
          </w:p>
        </w:tc>
        <w:tc>
          <w:tcPr>
            <w:tcW w:w="1737" w:type="dxa"/>
            <w:noWrap/>
            <w:vAlign w:val="bottom"/>
          </w:tcPr>
          <w:p w14:paraId="7F0C85CE" w14:textId="0AA377B2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2,75%</w:t>
            </w:r>
          </w:p>
        </w:tc>
        <w:tc>
          <w:tcPr>
            <w:tcW w:w="1736" w:type="dxa"/>
            <w:noWrap/>
            <w:vAlign w:val="bottom"/>
          </w:tcPr>
          <w:p w14:paraId="1E76288C" w14:textId="3C33966B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7" w:type="dxa"/>
            <w:noWrap/>
            <w:vAlign w:val="bottom"/>
          </w:tcPr>
          <w:p w14:paraId="35FE4E50" w14:textId="221E6DE6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47C3F" w:rsidRPr="00CE7986" w14:paraId="775AE550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B91168" w14:textId="046AE108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6EDDBC3D" w14:textId="1347A688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3,43%</w:t>
            </w:r>
          </w:p>
        </w:tc>
        <w:tc>
          <w:tcPr>
            <w:tcW w:w="1737" w:type="dxa"/>
            <w:noWrap/>
            <w:vAlign w:val="bottom"/>
          </w:tcPr>
          <w:p w14:paraId="4B8B5AEF" w14:textId="3ECC72D8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4,98%</w:t>
            </w:r>
          </w:p>
        </w:tc>
        <w:tc>
          <w:tcPr>
            <w:tcW w:w="1736" w:type="dxa"/>
            <w:noWrap/>
            <w:vAlign w:val="bottom"/>
          </w:tcPr>
          <w:p w14:paraId="3C2C5685" w14:textId="445E8E3A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-1,54%</w:t>
            </w:r>
          </w:p>
        </w:tc>
        <w:tc>
          <w:tcPr>
            <w:tcW w:w="1737" w:type="dxa"/>
            <w:noWrap/>
            <w:vAlign w:val="bottom"/>
          </w:tcPr>
          <w:p w14:paraId="0C00020A" w14:textId="7A832507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47C3F" w:rsidRPr="00CE7986" w14:paraId="4406DEDB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1C2A4A" w14:textId="14307535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48F5F61" w14:textId="220D28E1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3,15%</w:t>
            </w:r>
          </w:p>
        </w:tc>
        <w:tc>
          <w:tcPr>
            <w:tcW w:w="1737" w:type="dxa"/>
            <w:noWrap/>
            <w:vAlign w:val="bottom"/>
          </w:tcPr>
          <w:p w14:paraId="1B4AE7E1" w14:textId="6DE6032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3,67%</w:t>
            </w:r>
          </w:p>
        </w:tc>
        <w:tc>
          <w:tcPr>
            <w:tcW w:w="1736" w:type="dxa"/>
            <w:noWrap/>
            <w:vAlign w:val="bottom"/>
          </w:tcPr>
          <w:p w14:paraId="23AE5BD6" w14:textId="2C149B1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-0,52%</w:t>
            </w:r>
          </w:p>
        </w:tc>
        <w:tc>
          <w:tcPr>
            <w:tcW w:w="1737" w:type="dxa"/>
            <w:noWrap/>
            <w:vAlign w:val="bottom"/>
          </w:tcPr>
          <w:p w14:paraId="7305E3F3" w14:textId="2D8F38D8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47C3F" w:rsidRPr="00CE7986" w14:paraId="3CC3B7E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A061E1" w14:textId="6A848EBB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61D7EB46" w14:textId="7A649B15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2,77%</w:t>
            </w:r>
          </w:p>
        </w:tc>
        <w:tc>
          <w:tcPr>
            <w:tcW w:w="1737" w:type="dxa"/>
            <w:noWrap/>
            <w:vAlign w:val="bottom"/>
          </w:tcPr>
          <w:p w14:paraId="3369C3E8" w14:textId="009E7E34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4,65%</w:t>
            </w:r>
          </w:p>
        </w:tc>
        <w:tc>
          <w:tcPr>
            <w:tcW w:w="1736" w:type="dxa"/>
            <w:noWrap/>
            <w:vAlign w:val="bottom"/>
          </w:tcPr>
          <w:p w14:paraId="7B8D6F33" w14:textId="5B5C30E2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-1,88%</w:t>
            </w:r>
          </w:p>
        </w:tc>
        <w:tc>
          <w:tcPr>
            <w:tcW w:w="1737" w:type="dxa"/>
            <w:noWrap/>
            <w:vAlign w:val="bottom"/>
          </w:tcPr>
          <w:p w14:paraId="7BEFE226" w14:textId="7ACC3D71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47C3F" w:rsidRPr="00CE7986" w14:paraId="346AADF4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B73DD22" w14:textId="085E2093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66F7399D" w14:textId="1E145915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2,27%</w:t>
            </w:r>
          </w:p>
        </w:tc>
        <w:tc>
          <w:tcPr>
            <w:tcW w:w="1737" w:type="dxa"/>
            <w:noWrap/>
            <w:vAlign w:val="bottom"/>
          </w:tcPr>
          <w:p w14:paraId="356A3B30" w14:textId="0DAA3E84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6" w:type="dxa"/>
            <w:noWrap/>
            <w:vAlign w:val="bottom"/>
          </w:tcPr>
          <w:p w14:paraId="476D83A4" w14:textId="572D1728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4F60174C" w14:textId="77DE4520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47C3F" w:rsidRPr="00CE7986" w14:paraId="3A1BC7CE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A04054" w14:textId="250ED689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4DD0DCC9" w14:textId="45490DA0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1,73%</w:t>
            </w:r>
          </w:p>
        </w:tc>
        <w:tc>
          <w:tcPr>
            <w:tcW w:w="1737" w:type="dxa"/>
            <w:noWrap/>
            <w:vAlign w:val="bottom"/>
          </w:tcPr>
          <w:p w14:paraId="60B2F80A" w14:textId="1E9C9462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1,58%</w:t>
            </w:r>
          </w:p>
        </w:tc>
        <w:tc>
          <w:tcPr>
            <w:tcW w:w="1736" w:type="dxa"/>
            <w:noWrap/>
            <w:vAlign w:val="bottom"/>
          </w:tcPr>
          <w:p w14:paraId="4CE27C7C" w14:textId="77F54499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27CE8D9F" w14:textId="175588FC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47C3F" w:rsidRPr="00CE7986" w14:paraId="6F9B2DCD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CD08C5" w14:textId="4774F880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12D64CBA" w14:textId="6D6E0EE1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1,33%</w:t>
            </w:r>
          </w:p>
        </w:tc>
        <w:tc>
          <w:tcPr>
            <w:tcW w:w="1737" w:type="dxa"/>
            <w:noWrap/>
            <w:vAlign w:val="bottom"/>
          </w:tcPr>
          <w:p w14:paraId="424A4945" w14:textId="323DB96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6" w:type="dxa"/>
            <w:noWrap/>
            <w:vAlign w:val="bottom"/>
          </w:tcPr>
          <w:p w14:paraId="36E9C3C5" w14:textId="04FECBBD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41081F07" w14:textId="3DDAB5ED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47C3F" w:rsidRPr="00CE7986" w14:paraId="1FECD34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F38FEA5" w14:textId="0A821BA5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88DCC72" w14:textId="3C6B348D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0,94%</w:t>
            </w:r>
          </w:p>
        </w:tc>
        <w:tc>
          <w:tcPr>
            <w:tcW w:w="1737" w:type="dxa"/>
            <w:noWrap/>
            <w:vAlign w:val="bottom"/>
          </w:tcPr>
          <w:p w14:paraId="32E8F659" w14:textId="77CBD41E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1,44%</w:t>
            </w:r>
          </w:p>
        </w:tc>
        <w:tc>
          <w:tcPr>
            <w:tcW w:w="1736" w:type="dxa"/>
            <w:noWrap/>
            <w:vAlign w:val="bottom"/>
          </w:tcPr>
          <w:p w14:paraId="2E3F925E" w14:textId="61958D5D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-0,51%</w:t>
            </w:r>
          </w:p>
        </w:tc>
        <w:tc>
          <w:tcPr>
            <w:tcW w:w="1737" w:type="dxa"/>
            <w:noWrap/>
            <w:vAlign w:val="bottom"/>
          </w:tcPr>
          <w:p w14:paraId="57DEF86A" w14:textId="415D1C6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47C3F" w:rsidRPr="00CE7986" w14:paraId="399972A5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72EDD0" w14:textId="2C17594F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631A3148" w14:textId="16CA06E4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0,80%</w:t>
            </w:r>
          </w:p>
        </w:tc>
        <w:tc>
          <w:tcPr>
            <w:tcW w:w="1737" w:type="dxa"/>
            <w:noWrap/>
            <w:vAlign w:val="bottom"/>
          </w:tcPr>
          <w:p w14:paraId="7EE1867F" w14:textId="5F770E7A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0,74%</w:t>
            </w:r>
          </w:p>
        </w:tc>
        <w:tc>
          <w:tcPr>
            <w:tcW w:w="1736" w:type="dxa"/>
            <w:noWrap/>
            <w:vAlign w:val="bottom"/>
          </w:tcPr>
          <w:p w14:paraId="2CF1B332" w14:textId="75733A41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4F743EC9" w14:textId="608ECAF2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47C3F" w:rsidRPr="00CE7986" w14:paraId="5CF8D28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D004AC" w14:textId="610C7F27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D50276F" w14:textId="3776E1D2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7" w:type="dxa"/>
            <w:noWrap/>
            <w:vAlign w:val="bottom"/>
          </w:tcPr>
          <w:p w14:paraId="270584D9" w14:textId="66C20948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6" w:type="dxa"/>
            <w:noWrap/>
            <w:vAlign w:val="bottom"/>
          </w:tcPr>
          <w:p w14:paraId="19C6432A" w14:textId="3CEB00C0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660B5CED" w14:textId="1E888751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947C3F" w:rsidRPr="00CE7986" w14:paraId="58341272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0B25EFC" w14:textId="76BBDF6D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5F2DBBC" w14:textId="207750D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7" w:type="dxa"/>
            <w:noWrap/>
            <w:vAlign w:val="bottom"/>
          </w:tcPr>
          <w:p w14:paraId="30E4B49B" w14:textId="1C65CFEE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0F17B12" w14:textId="08E6A64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7" w:type="dxa"/>
            <w:noWrap/>
            <w:vAlign w:val="bottom"/>
          </w:tcPr>
          <w:p w14:paraId="5B0B366E" w14:textId="13865401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947C3F" w:rsidRPr="00CE7986" w14:paraId="28A46671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B47C40" w14:textId="23516C27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070F7F1E" w14:textId="05AEDA14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7" w:type="dxa"/>
            <w:noWrap/>
            <w:vAlign w:val="bottom"/>
          </w:tcPr>
          <w:p w14:paraId="788C4988" w14:textId="1FF0F6CD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38EDE9FB" w14:textId="7A38DF8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1A361A87" w14:textId="72E41BB3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947C3F" w:rsidRPr="00CE7986" w14:paraId="4ECCD16F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FAB5C5" w14:textId="3407A454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3E1C33AA" w14:textId="2437FF90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5AF6C637" w14:textId="1353F103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6" w:type="dxa"/>
            <w:noWrap/>
            <w:vAlign w:val="bottom"/>
          </w:tcPr>
          <w:p w14:paraId="481F146E" w14:textId="1651AE53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B5FA1BD" w14:textId="56995C66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947C3F" w:rsidRPr="00CE7986" w14:paraId="793BA811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8B803E" w14:textId="547AA260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CC39A19" w14:textId="7FB4173C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6FB872C" w14:textId="3AEC5B3F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A7D97E0" w14:textId="187562DF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F382DA4" w14:textId="6A5EB67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947C3F" w:rsidRPr="00CE7986" w14:paraId="24597AC8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AB9CED" w14:textId="7AD73A7A" w:rsidR="00947C3F" w:rsidRPr="00AC49BF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52AFD03E" w14:textId="3D3D84F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DD4B171" w14:textId="7C230890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3A815F7" w14:textId="670C80C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25F7D60" w14:textId="65B57E40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947C3F" w:rsidRPr="00CE7986" w14:paraId="4D48E8AD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C81943" w14:textId="7EB9584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727DD835" w14:textId="277CA5BD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0DC6449" w14:textId="73EF0691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02002841" w14:textId="33DBF0BF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B14F005" w14:textId="17AFA3D5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B1197D" w:rsidRPr="00CE7986" w14:paraId="46557F25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113252B" w14:textId="2B2B2439" w:rsidR="00B1197D" w:rsidRPr="00CE7986" w:rsidRDefault="00B1197D" w:rsidP="00B1197D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685A0CF" w14:textId="6BF4D8B9" w:rsidR="00B1197D" w:rsidRPr="00CE7986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F771C43" w14:textId="1F99D7B4" w:rsidR="00B1197D" w:rsidRPr="00CE7986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7840D54" w14:textId="652A3756" w:rsidR="00B1197D" w:rsidRPr="00CE7986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0004B4D" w14:textId="6E44EC4D" w:rsidR="00B1197D" w:rsidRPr="00CE7986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19F684FC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8FB94CB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6880E3B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C96C925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FAF76DE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970082D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1B2C96D2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1587AD6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A6D1B90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6C74984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65C1D80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6E49B74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334E232A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8A2BC6D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62355AC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49A8A8B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7C1AEEB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C603E99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6CC500D3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7A7C2D8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9EAC856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F146C5A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D8D7BC1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7D18AC1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41FFA50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CBDA260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20B234D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56266D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0CFB56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11306FB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7FD05D5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76AA8DB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1DC8C96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50A24B8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12F7299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44C238F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B1C987D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0D590E6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C249D33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3AF789B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DB2AC4C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A88BF38" w14:textId="77777777" w:rsidR="00B2004F" w:rsidRPr="00CE7986" w:rsidRDefault="00B2004F" w:rsidP="00697FA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7C3F" w:rsidRPr="00CE7986" w14:paraId="43E5341F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312E8BF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3777D276" w14:textId="659B4E4D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99,73%</w:t>
            </w:r>
          </w:p>
        </w:tc>
        <w:tc>
          <w:tcPr>
            <w:tcW w:w="1737" w:type="dxa"/>
            <w:noWrap/>
            <w:vAlign w:val="bottom"/>
          </w:tcPr>
          <w:p w14:paraId="0AD1C213" w14:textId="1217CC3F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86,71%</w:t>
            </w:r>
          </w:p>
        </w:tc>
        <w:tc>
          <w:tcPr>
            <w:tcW w:w="1736" w:type="dxa"/>
            <w:noWrap/>
          </w:tcPr>
          <w:p w14:paraId="2C0F1823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A1DCA42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B0D638D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E7986" w14:paraId="5126B923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BB0ED57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D8E09A2" w14:textId="44CF85F7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3D145C53" w14:textId="58AA5A2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947C3F" w:rsidRPr="00CE7986" w14:paraId="194B6AB7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5995D83" w14:textId="144F0E93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cinque Associate</w:t>
            </w:r>
          </w:p>
        </w:tc>
        <w:tc>
          <w:tcPr>
            <w:tcW w:w="3969" w:type="dxa"/>
            <w:vAlign w:val="bottom"/>
          </w:tcPr>
          <w:p w14:paraId="77A556B5" w14:textId="5085F654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68,86%</w:t>
            </w:r>
          </w:p>
        </w:tc>
        <w:tc>
          <w:tcPr>
            <w:tcW w:w="2977" w:type="dxa"/>
            <w:vAlign w:val="bottom"/>
          </w:tcPr>
          <w:p w14:paraId="1CFC6214" w14:textId="3E47C2D1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62,91%</w:t>
            </w:r>
          </w:p>
        </w:tc>
      </w:tr>
      <w:tr w:rsidR="00947C3F" w:rsidRPr="00CE7986" w14:paraId="34C1CB49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D49B2F6" w14:textId="5A7E0BE4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F638852" w14:textId="62099EA5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87,91%</w:t>
            </w:r>
          </w:p>
        </w:tc>
        <w:tc>
          <w:tcPr>
            <w:tcW w:w="2977" w:type="dxa"/>
            <w:vAlign w:val="bottom"/>
          </w:tcPr>
          <w:p w14:paraId="78717C7D" w14:textId="26180E2A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81,62%</w:t>
            </w:r>
          </w:p>
        </w:tc>
      </w:tr>
    </w:tbl>
    <w:p w14:paraId="09A07D60" w14:textId="77777777" w:rsidR="00C07DDA" w:rsidRPr="00CE7986" w:rsidRDefault="00C07DDA" w:rsidP="00AF18EC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E7986" w14:paraId="12BF480A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CF674C9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5EB239A" w14:textId="29DDDCC4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8C1AA07" w14:textId="093FEDCA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68A4BBA3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Variazione</w:t>
            </w:r>
          </w:p>
        </w:tc>
      </w:tr>
      <w:tr w:rsidR="00947C3F" w:rsidRPr="00CE7986" w14:paraId="4F760183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F3B69B8" w14:textId="7544669C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355399A0" w14:textId="54C357B3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7.677.769.792</w:t>
            </w:r>
          </w:p>
        </w:tc>
        <w:tc>
          <w:tcPr>
            <w:tcW w:w="2460" w:type="dxa"/>
            <w:vAlign w:val="bottom"/>
          </w:tcPr>
          <w:p w14:paraId="63396A89" w14:textId="6508543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8.893.875.670</w:t>
            </w:r>
          </w:p>
        </w:tc>
        <w:tc>
          <w:tcPr>
            <w:tcW w:w="2259" w:type="dxa"/>
            <w:vAlign w:val="bottom"/>
          </w:tcPr>
          <w:p w14:paraId="2CB8FAB0" w14:textId="0B942BFC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-13,67%</w:t>
            </w:r>
          </w:p>
        </w:tc>
      </w:tr>
      <w:tr w:rsidR="00947C3F" w:rsidRPr="00CE7986" w14:paraId="67D3320D" w14:textId="77777777" w:rsidTr="00947C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D24D4AE" w14:textId="7021612F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09000C1A" w14:textId="4E682023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514.963</w:t>
            </w:r>
          </w:p>
        </w:tc>
        <w:tc>
          <w:tcPr>
            <w:tcW w:w="2460" w:type="dxa"/>
            <w:vAlign w:val="bottom"/>
          </w:tcPr>
          <w:p w14:paraId="61DD02B5" w14:textId="0BA5C46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627.096</w:t>
            </w:r>
          </w:p>
        </w:tc>
        <w:tc>
          <w:tcPr>
            <w:tcW w:w="2259" w:type="dxa"/>
            <w:vAlign w:val="bottom"/>
          </w:tcPr>
          <w:p w14:paraId="76BDBB9B" w14:textId="716C1CD2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-17,88%</w:t>
            </w:r>
          </w:p>
        </w:tc>
      </w:tr>
      <w:tr w:rsidR="00947C3F" w:rsidRPr="00CE7986" w14:paraId="4C8A39FC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C340998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6360E322" w14:textId="5B9AA51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14.909</w:t>
            </w:r>
          </w:p>
        </w:tc>
        <w:tc>
          <w:tcPr>
            <w:tcW w:w="2460" w:type="dxa"/>
            <w:vAlign w:val="bottom"/>
          </w:tcPr>
          <w:p w14:paraId="16F6842B" w14:textId="56BC467C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14.183</w:t>
            </w:r>
          </w:p>
        </w:tc>
        <w:tc>
          <w:tcPr>
            <w:tcW w:w="2259" w:type="dxa"/>
            <w:vAlign w:val="bottom"/>
          </w:tcPr>
          <w:p w14:paraId="0A391FEB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DF5A8D" w14:textId="77777777" w:rsidR="00B2004F" w:rsidRPr="00B2004F" w:rsidRDefault="00B2004F" w:rsidP="00B2004F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EXTRAMOT </w:t>
      </w:r>
      <w:r w:rsidR="00BE3EDD">
        <w:rPr>
          <w:color w:val="4F81BD" w:themeColor="accent1"/>
        </w:rPr>
        <w:t xml:space="preserve">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2CA1C38B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710EB4F3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54D769C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7013581" w14:textId="7DE7999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46E83A2" w14:textId="4AD6035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EBCBBAA" w14:textId="2CF1AD1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B8F8AC2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241600E" w14:textId="6CCAE6A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947C3F" w:rsidRPr="00CE7986" w14:paraId="6F9F824A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40D380" w14:textId="2E45B561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DFEADD7" w14:textId="434C28A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25,97%</w:t>
            </w:r>
          </w:p>
        </w:tc>
        <w:tc>
          <w:tcPr>
            <w:tcW w:w="1737" w:type="dxa"/>
            <w:noWrap/>
            <w:vAlign w:val="bottom"/>
          </w:tcPr>
          <w:p w14:paraId="6E5FF0DC" w14:textId="5BC03D0C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27,52%</w:t>
            </w:r>
          </w:p>
        </w:tc>
        <w:tc>
          <w:tcPr>
            <w:tcW w:w="1736" w:type="dxa"/>
            <w:noWrap/>
            <w:vAlign w:val="bottom"/>
          </w:tcPr>
          <w:p w14:paraId="71A82D5E" w14:textId="78F2DFE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-1,55%</w:t>
            </w:r>
          </w:p>
        </w:tc>
        <w:tc>
          <w:tcPr>
            <w:tcW w:w="1737" w:type="dxa"/>
            <w:noWrap/>
            <w:vAlign w:val="bottom"/>
          </w:tcPr>
          <w:p w14:paraId="5BE15C51" w14:textId="1884AC5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47C3F" w:rsidRPr="00CE7986" w14:paraId="0D52437A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563C2E" w14:textId="34D5209C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684F8EBE" w14:textId="6F50DCAE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16,84%</w:t>
            </w:r>
          </w:p>
        </w:tc>
        <w:tc>
          <w:tcPr>
            <w:tcW w:w="1737" w:type="dxa"/>
            <w:noWrap/>
            <w:vAlign w:val="bottom"/>
          </w:tcPr>
          <w:p w14:paraId="4F240DA7" w14:textId="0C2F0184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14,96%</w:t>
            </w:r>
          </w:p>
        </w:tc>
        <w:tc>
          <w:tcPr>
            <w:tcW w:w="1736" w:type="dxa"/>
            <w:noWrap/>
            <w:vAlign w:val="bottom"/>
          </w:tcPr>
          <w:p w14:paraId="352C9875" w14:textId="0259D3A3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1,88%</w:t>
            </w:r>
          </w:p>
        </w:tc>
        <w:tc>
          <w:tcPr>
            <w:tcW w:w="1737" w:type="dxa"/>
            <w:noWrap/>
            <w:vAlign w:val="bottom"/>
          </w:tcPr>
          <w:p w14:paraId="0AE1A3B6" w14:textId="4B18CDE9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47C3F" w:rsidRPr="00CE7986" w14:paraId="47BA6E03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7F3684D" w14:textId="11A0383E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3FF528AA" w14:textId="4A9A6FC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14,52%</w:t>
            </w:r>
          </w:p>
        </w:tc>
        <w:tc>
          <w:tcPr>
            <w:tcW w:w="1737" w:type="dxa"/>
            <w:noWrap/>
            <w:vAlign w:val="bottom"/>
          </w:tcPr>
          <w:p w14:paraId="3B25E1AB" w14:textId="21BEE33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12,12%</w:t>
            </w:r>
          </w:p>
        </w:tc>
        <w:tc>
          <w:tcPr>
            <w:tcW w:w="1736" w:type="dxa"/>
            <w:noWrap/>
            <w:vAlign w:val="bottom"/>
          </w:tcPr>
          <w:p w14:paraId="374F23C8" w14:textId="331E5D43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2,39%</w:t>
            </w:r>
          </w:p>
        </w:tc>
        <w:tc>
          <w:tcPr>
            <w:tcW w:w="1737" w:type="dxa"/>
            <w:noWrap/>
            <w:vAlign w:val="bottom"/>
          </w:tcPr>
          <w:p w14:paraId="721C6E25" w14:textId="2EECAF5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47C3F" w:rsidRPr="00CE7986" w14:paraId="4C88C5D6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1B4A92" w14:textId="490FEBA2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7008A8F0" w14:textId="02CF7AD3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9,47%</w:t>
            </w:r>
          </w:p>
        </w:tc>
        <w:tc>
          <w:tcPr>
            <w:tcW w:w="1737" w:type="dxa"/>
            <w:noWrap/>
            <w:vAlign w:val="bottom"/>
          </w:tcPr>
          <w:p w14:paraId="17460097" w14:textId="6CA7A36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6,42%</w:t>
            </w:r>
          </w:p>
        </w:tc>
        <w:tc>
          <w:tcPr>
            <w:tcW w:w="1736" w:type="dxa"/>
            <w:noWrap/>
            <w:vAlign w:val="bottom"/>
          </w:tcPr>
          <w:p w14:paraId="73916F01" w14:textId="763398F4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3,06%</w:t>
            </w:r>
          </w:p>
        </w:tc>
        <w:tc>
          <w:tcPr>
            <w:tcW w:w="1737" w:type="dxa"/>
            <w:noWrap/>
            <w:vAlign w:val="bottom"/>
          </w:tcPr>
          <w:p w14:paraId="2D5C6483" w14:textId="347FBBF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47C3F" w:rsidRPr="00CE7986" w14:paraId="2F7E9638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1A9130" w14:textId="235A6E76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440AE3D" w14:textId="5F4C7125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4,90%</w:t>
            </w:r>
          </w:p>
        </w:tc>
        <w:tc>
          <w:tcPr>
            <w:tcW w:w="1737" w:type="dxa"/>
            <w:noWrap/>
            <w:vAlign w:val="bottom"/>
          </w:tcPr>
          <w:p w14:paraId="30691ECC" w14:textId="129D6ED6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2,65%</w:t>
            </w:r>
          </w:p>
        </w:tc>
        <w:tc>
          <w:tcPr>
            <w:tcW w:w="1736" w:type="dxa"/>
            <w:noWrap/>
            <w:vAlign w:val="bottom"/>
          </w:tcPr>
          <w:p w14:paraId="4BCF3A45" w14:textId="3CB1CBC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2,26%</w:t>
            </w:r>
          </w:p>
        </w:tc>
        <w:tc>
          <w:tcPr>
            <w:tcW w:w="1737" w:type="dxa"/>
            <w:noWrap/>
            <w:vAlign w:val="bottom"/>
          </w:tcPr>
          <w:p w14:paraId="67FB51D0" w14:textId="0BE3687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47C3F" w:rsidRPr="00CE7986" w14:paraId="6061AE22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55AD46" w14:textId="2E2A4DAE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FE5227B" w14:textId="27F2E082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4,90%</w:t>
            </w:r>
          </w:p>
        </w:tc>
        <w:tc>
          <w:tcPr>
            <w:tcW w:w="1737" w:type="dxa"/>
            <w:noWrap/>
            <w:vAlign w:val="bottom"/>
          </w:tcPr>
          <w:p w14:paraId="5468B089" w14:textId="2B9B9BF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4,83%</w:t>
            </w:r>
          </w:p>
        </w:tc>
        <w:tc>
          <w:tcPr>
            <w:tcW w:w="1736" w:type="dxa"/>
            <w:noWrap/>
            <w:vAlign w:val="bottom"/>
          </w:tcPr>
          <w:p w14:paraId="4F49482B" w14:textId="0BBB2A2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49626FA3" w14:textId="264DB2D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47C3F" w:rsidRPr="00CE7986" w14:paraId="6D859D01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E623A1A" w14:textId="0DD31902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395BB291" w14:textId="767323F6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4,29%</w:t>
            </w:r>
          </w:p>
        </w:tc>
        <w:tc>
          <w:tcPr>
            <w:tcW w:w="1737" w:type="dxa"/>
            <w:noWrap/>
            <w:vAlign w:val="bottom"/>
          </w:tcPr>
          <w:p w14:paraId="0DDE2438" w14:textId="3A378416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E202D05" w14:textId="7ED3133C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4,29%</w:t>
            </w:r>
          </w:p>
        </w:tc>
        <w:tc>
          <w:tcPr>
            <w:tcW w:w="1737" w:type="dxa"/>
            <w:noWrap/>
            <w:vAlign w:val="bottom"/>
          </w:tcPr>
          <w:p w14:paraId="536BE6E4" w14:textId="0295DD6F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947C3F" w:rsidRPr="00CE7986" w14:paraId="350FF744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E529F2" w14:textId="4A5CAFE2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2787090D" w14:textId="60D452A9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3,41%</w:t>
            </w:r>
          </w:p>
        </w:tc>
        <w:tc>
          <w:tcPr>
            <w:tcW w:w="1737" w:type="dxa"/>
            <w:noWrap/>
            <w:vAlign w:val="bottom"/>
          </w:tcPr>
          <w:p w14:paraId="0272ECED" w14:textId="4C73FAE8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3,91%</w:t>
            </w:r>
          </w:p>
        </w:tc>
        <w:tc>
          <w:tcPr>
            <w:tcW w:w="1736" w:type="dxa"/>
            <w:noWrap/>
            <w:vAlign w:val="bottom"/>
          </w:tcPr>
          <w:p w14:paraId="0DF7F23A" w14:textId="186D6422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-0,50%</w:t>
            </w:r>
          </w:p>
        </w:tc>
        <w:tc>
          <w:tcPr>
            <w:tcW w:w="1737" w:type="dxa"/>
            <w:noWrap/>
            <w:vAlign w:val="bottom"/>
          </w:tcPr>
          <w:p w14:paraId="7C146267" w14:textId="37A73BA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47C3F" w:rsidRPr="00CE7986" w14:paraId="5BC0C8BE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8DAA45" w14:textId="25A749B6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5C9E63F" w14:textId="1DC383C4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3,21%</w:t>
            </w:r>
          </w:p>
        </w:tc>
        <w:tc>
          <w:tcPr>
            <w:tcW w:w="1737" w:type="dxa"/>
            <w:noWrap/>
            <w:vAlign w:val="bottom"/>
          </w:tcPr>
          <w:p w14:paraId="7D92B5CE" w14:textId="70A2B5F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7,36%</w:t>
            </w:r>
          </w:p>
        </w:tc>
        <w:tc>
          <w:tcPr>
            <w:tcW w:w="1736" w:type="dxa"/>
            <w:noWrap/>
            <w:vAlign w:val="bottom"/>
          </w:tcPr>
          <w:p w14:paraId="0055A583" w14:textId="2D2BB4A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-4,15%</w:t>
            </w:r>
          </w:p>
        </w:tc>
        <w:tc>
          <w:tcPr>
            <w:tcW w:w="1737" w:type="dxa"/>
            <w:noWrap/>
            <w:vAlign w:val="bottom"/>
          </w:tcPr>
          <w:p w14:paraId="70BB47DC" w14:textId="00BF12B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47C3F" w:rsidRPr="00CE7986" w14:paraId="7B969010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E218FD" w14:textId="3D3D9CFE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35E54DF8" w14:textId="7FBCA40C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2,44%</w:t>
            </w:r>
          </w:p>
        </w:tc>
        <w:tc>
          <w:tcPr>
            <w:tcW w:w="1737" w:type="dxa"/>
            <w:noWrap/>
            <w:vAlign w:val="bottom"/>
          </w:tcPr>
          <w:p w14:paraId="38ECF571" w14:textId="02EE5B9F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3,18%</w:t>
            </w:r>
          </w:p>
        </w:tc>
        <w:tc>
          <w:tcPr>
            <w:tcW w:w="1736" w:type="dxa"/>
            <w:noWrap/>
            <w:vAlign w:val="bottom"/>
          </w:tcPr>
          <w:p w14:paraId="7590BB6D" w14:textId="0D3D8E99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-0,73%</w:t>
            </w:r>
          </w:p>
        </w:tc>
        <w:tc>
          <w:tcPr>
            <w:tcW w:w="1737" w:type="dxa"/>
            <w:noWrap/>
            <w:vAlign w:val="bottom"/>
          </w:tcPr>
          <w:p w14:paraId="4C733A76" w14:textId="0D94410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47C3F" w:rsidRPr="00CE7986" w14:paraId="71C19DFC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21B5CA" w14:textId="0B8F71EB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5A47E983" w14:textId="1911FA6F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1,89%</w:t>
            </w:r>
          </w:p>
        </w:tc>
        <w:tc>
          <w:tcPr>
            <w:tcW w:w="1737" w:type="dxa"/>
            <w:noWrap/>
            <w:vAlign w:val="bottom"/>
          </w:tcPr>
          <w:p w14:paraId="13D62C58" w14:textId="61C13D0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4,24%</w:t>
            </w:r>
          </w:p>
        </w:tc>
        <w:tc>
          <w:tcPr>
            <w:tcW w:w="1736" w:type="dxa"/>
            <w:noWrap/>
            <w:vAlign w:val="bottom"/>
          </w:tcPr>
          <w:p w14:paraId="1A6FF913" w14:textId="4D4FA07B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-2,35%</w:t>
            </w:r>
          </w:p>
        </w:tc>
        <w:tc>
          <w:tcPr>
            <w:tcW w:w="1737" w:type="dxa"/>
            <w:noWrap/>
            <w:vAlign w:val="bottom"/>
          </w:tcPr>
          <w:p w14:paraId="54B2FDDB" w14:textId="02CC69C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47C3F" w:rsidRPr="00CE7986" w14:paraId="08ED28B8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D6CE2D" w14:textId="77038C26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6AB0511D" w14:textId="5E24943A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1,50%</w:t>
            </w:r>
          </w:p>
        </w:tc>
        <w:tc>
          <w:tcPr>
            <w:tcW w:w="1737" w:type="dxa"/>
            <w:noWrap/>
            <w:vAlign w:val="bottom"/>
          </w:tcPr>
          <w:p w14:paraId="0924AB4B" w14:textId="3C5760BE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1,41%</w:t>
            </w:r>
          </w:p>
        </w:tc>
        <w:tc>
          <w:tcPr>
            <w:tcW w:w="1736" w:type="dxa"/>
            <w:noWrap/>
            <w:vAlign w:val="bottom"/>
          </w:tcPr>
          <w:p w14:paraId="5ECC02FC" w14:textId="7F273389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539B53DD" w14:textId="1DF0F8CC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47C3F" w:rsidRPr="00CE7986" w14:paraId="6A452624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3FCFBF" w14:textId="40855E7C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4118F00" w14:textId="5786939C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7" w:type="dxa"/>
            <w:noWrap/>
            <w:vAlign w:val="bottom"/>
          </w:tcPr>
          <w:p w14:paraId="10A7F12F" w14:textId="60D9BC5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1,14%</w:t>
            </w:r>
          </w:p>
        </w:tc>
        <w:tc>
          <w:tcPr>
            <w:tcW w:w="1736" w:type="dxa"/>
            <w:noWrap/>
            <w:vAlign w:val="bottom"/>
          </w:tcPr>
          <w:p w14:paraId="15DC470F" w14:textId="1C1B01F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3E9EB9A8" w14:textId="53272896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47C3F" w:rsidRPr="00CE7986" w14:paraId="20271E53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D5112F" w14:textId="204CE3C0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7E013DAB" w14:textId="40CA0DBF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7" w:type="dxa"/>
            <w:noWrap/>
            <w:vAlign w:val="bottom"/>
          </w:tcPr>
          <w:p w14:paraId="10A7C43B" w14:textId="227E3FC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6" w:type="dxa"/>
            <w:noWrap/>
            <w:vAlign w:val="bottom"/>
          </w:tcPr>
          <w:p w14:paraId="0F1FCFB2" w14:textId="6061F55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7" w:type="dxa"/>
            <w:noWrap/>
            <w:vAlign w:val="bottom"/>
          </w:tcPr>
          <w:p w14:paraId="526FA559" w14:textId="290DACA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47C3F" w:rsidRPr="00CE7986" w14:paraId="21635F9F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C32B93" w14:textId="0CA43B70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356B5C94" w14:textId="1388EBD7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7" w:type="dxa"/>
            <w:noWrap/>
            <w:vAlign w:val="bottom"/>
          </w:tcPr>
          <w:p w14:paraId="72CB59C0" w14:textId="06CC5AC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1,18%</w:t>
            </w:r>
          </w:p>
        </w:tc>
        <w:tc>
          <w:tcPr>
            <w:tcW w:w="1736" w:type="dxa"/>
            <w:noWrap/>
            <w:vAlign w:val="bottom"/>
          </w:tcPr>
          <w:p w14:paraId="7E3F1F98" w14:textId="68C2EBD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-0,29%</w:t>
            </w:r>
          </w:p>
        </w:tc>
        <w:tc>
          <w:tcPr>
            <w:tcW w:w="1737" w:type="dxa"/>
            <w:noWrap/>
            <w:vAlign w:val="bottom"/>
          </w:tcPr>
          <w:p w14:paraId="56AC0C5E" w14:textId="18DF754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47C3F" w:rsidRPr="00CE7986" w14:paraId="2D42BC5E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5818B2" w14:textId="4FA1C44F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5AB85EDF" w14:textId="0BF4DD0D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7" w:type="dxa"/>
            <w:noWrap/>
            <w:vAlign w:val="bottom"/>
          </w:tcPr>
          <w:p w14:paraId="6E1C74BD" w14:textId="4BD0E0B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54B76DCC" w14:textId="274A8229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0,39%</w:t>
            </w:r>
          </w:p>
        </w:tc>
        <w:tc>
          <w:tcPr>
            <w:tcW w:w="1737" w:type="dxa"/>
            <w:noWrap/>
            <w:vAlign w:val="bottom"/>
          </w:tcPr>
          <w:p w14:paraId="1BFBFDC2" w14:textId="70702E04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947C3F" w:rsidRPr="00CE7986" w14:paraId="2B7A85F0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412129" w14:textId="1AA24877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01A218E3" w14:textId="5EC2BE31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0,69%</w:t>
            </w:r>
          </w:p>
        </w:tc>
        <w:tc>
          <w:tcPr>
            <w:tcW w:w="1737" w:type="dxa"/>
            <w:noWrap/>
            <w:vAlign w:val="bottom"/>
          </w:tcPr>
          <w:p w14:paraId="42A15AA9" w14:textId="70074A2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6" w:type="dxa"/>
            <w:noWrap/>
            <w:vAlign w:val="bottom"/>
          </w:tcPr>
          <w:p w14:paraId="431FE6F4" w14:textId="62B4604E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39EBF09D" w14:textId="3CDF7BB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47C3F" w:rsidRPr="00CE7986" w14:paraId="130E7772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67105EE" w14:textId="6499B3C1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8FD48B7" w14:textId="7791ED9E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7" w:type="dxa"/>
            <w:noWrap/>
            <w:vAlign w:val="bottom"/>
          </w:tcPr>
          <w:p w14:paraId="77DB525E" w14:textId="3455C5ED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33F3E1B3" w14:textId="5996F4EE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7" w:type="dxa"/>
            <w:noWrap/>
            <w:vAlign w:val="bottom"/>
          </w:tcPr>
          <w:p w14:paraId="2E266C1E" w14:textId="0F3F3484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947C3F" w:rsidRPr="00CE7986" w14:paraId="4698A24F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08FAE6" w14:textId="06CE6E91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4C8E2305" w14:textId="38747682" w:rsidR="00947C3F" w:rsidRPr="00AC49BF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03E24C04" w14:textId="66F33E27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B8AD6B9" w14:textId="1CA451B6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385C438F" w14:textId="66DF6A0A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947C3F" w:rsidRPr="00CE7986" w14:paraId="217FF13C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9796F9" w14:textId="23F3E0F2" w:rsidR="00947C3F" w:rsidRPr="00CE7986" w:rsidRDefault="00947C3F" w:rsidP="00947C3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A87CC57" w14:textId="5E095930" w:rsidR="00947C3F" w:rsidRPr="00AC49BF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66B6DF13" w14:textId="27AF65E6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0,62%</w:t>
            </w:r>
          </w:p>
        </w:tc>
        <w:tc>
          <w:tcPr>
            <w:tcW w:w="1736" w:type="dxa"/>
            <w:noWrap/>
            <w:vAlign w:val="bottom"/>
          </w:tcPr>
          <w:p w14:paraId="1098C1F5" w14:textId="0EE4EBC5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4F55969D" w14:textId="7F35956B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947C3F" w:rsidRPr="00CE7986" w14:paraId="6BA1B1F6" w14:textId="77777777" w:rsidTr="0094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56495D" w14:textId="234FA8CA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3D4941F6" w14:textId="5BBD9269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E7457A7" w14:textId="12A6B498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05380FB" w14:textId="206AD4A8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87D275" w14:textId="3D6CF5AB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947C3F" w:rsidRPr="00CE7986" w14:paraId="5ADE059B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351418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0509B95" w14:textId="6F2C0D79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F6D8C2E" w14:textId="54056CCE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8A78D83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EECBB65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31210130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289E527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F28B47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7A085B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4366558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5DAACB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438463D8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A3748F5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5F6B387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451F153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6A3C83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445596D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94C73FE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8F7269E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C914A5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CDF099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37F88A0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EA9206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3B4ABE0B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50AC50B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93614CE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AC90C8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DF3AF1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8915A87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6791821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D696D09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088BF39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91CB61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D8255A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C1D354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C9DC943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4388705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7A09C6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79D60E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B9C5CC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8A13C93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5E8500C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C3F04E7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8ABEB89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677A389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6C9A48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B975C8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4A9AD88B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C53C6C2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4FCD79E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2E8ABC1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311DF69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FB47FE1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7B4B942D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1722570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3130478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B9F2DB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A968D9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228337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7C3F" w:rsidRPr="00CE7986" w14:paraId="2C8460BE" w14:textId="77777777" w:rsidTr="00947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D807FC8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5B2D1D4" w14:textId="6AD75766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99,82%</w:t>
            </w:r>
          </w:p>
        </w:tc>
        <w:tc>
          <w:tcPr>
            <w:tcW w:w="1737" w:type="dxa"/>
            <w:noWrap/>
            <w:vAlign w:val="bottom"/>
          </w:tcPr>
          <w:p w14:paraId="1828985F" w14:textId="6240C7A2" w:rsidR="00947C3F" w:rsidRPr="00B1197D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85,99%</w:t>
            </w:r>
          </w:p>
        </w:tc>
        <w:tc>
          <w:tcPr>
            <w:tcW w:w="1736" w:type="dxa"/>
            <w:noWrap/>
          </w:tcPr>
          <w:p w14:paraId="686A2CA2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C3F1E90" w14:textId="77777777" w:rsidR="00947C3F" w:rsidRPr="00CE7986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D80181C" w14:textId="77777777" w:rsidR="00C07DDA" w:rsidRPr="00CE7986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E7986" w14:paraId="4C8ED348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629E820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70BAFA80" w14:textId="43620F9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028E966" w14:textId="2B22F98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947C3F" w:rsidRPr="00CE7986" w14:paraId="69F283BD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E4C5A35" w14:textId="4FBB4411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22D700D" w14:textId="21CF2F5F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71,71%</w:t>
            </w:r>
          </w:p>
        </w:tc>
        <w:tc>
          <w:tcPr>
            <w:tcW w:w="2977" w:type="dxa"/>
            <w:vAlign w:val="bottom"/>
          </w:tcPr>
          <w:p w14:paraId="5430A9E4" w14:textId="245912E0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68,38%</w:t>
            </w:r>
          </w:p>
        </w:tc>
      </w:tr>
      <w:tr w:rsidR="00947C3F" w:rsidRPr="00CE7986" w14:paraId="3D4524B7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7B4E9CA" w14:textId="32AE7D4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1279B517" w14:textId="0835DA2B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89,96%</w:t>
            </w:r>
          </w:p>
        </w:tc>
        <w:tc>
          <w:tcPr>
            <w:tcW w:w="2977" w:type="dxa"/>
            <w:vAlign w:val="bottom"/>
          </w:tcPr>
          <w:p w14:paraId="6224EA80" w14:textId="14FF5F58" w:rsidR="00947C3F" w:rsidRPr="00AC49BF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87,18%</w:t>
            </w:r>
          </w:p>
        </w:tc>
      </w:tr>
    </w:tbl>
    <w:p w14:paraId="209E4FC2" w14:textId="77777777" w:rsidR="00C07DDA" w:rsidRPr="00CE7986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E7986" w14:paraId="2FB2F11D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4667FB1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1B3DAEAD" w14:textId="0DD92DD8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2862E29D" w14:textId="7606FE3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749C6A9D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Variazione</w:t>
            </w:r>
          </w:p>
        </w:tc>
      </w:tr>
      <w:tr w:rsidR="00947C3F" w:rsidRPr="00CE7986" w14:paraId="3B5AFDF9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ED8A48C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582D85D8" w14:textId="30F6D7E3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1.136.484.894</w:t>
            </w:r>
          </w:p>
        </w:tc>
        <w:tc>
          <w:tcPr>
            <w:tcW w:w="2460" w:type="dxa"/>
            <w:vAlign w:val="bottom"/>
          </w:tcPr>
          <w:p w14:paraId="65749A64" w14:textId="08C4E2AE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1.518.446.365</w:t>
            </w:r>
          </w:p>
        </w:tc>
        <w:tc>
          <w:tcPr>
            <w:tcW w:w="2259" w:type="dxa"/>
            <w:vAlign w:val="bottom"/>
          </w:tcPr>
          <w:p w14:paraId="4553CFE2" w14:textId="0438DE11" w:rsidR="00947C3F" w:rsidRPr="007D4AD8" w:rsidRDefault="00947C3F" w:rsidP="0094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-25,15%</w:t>
            </w:r>
          </w:p>
        </w:tc>
      </w:tr>
      <w:tr w:rsidR="00947C3F" w:rsidRPr="00CE7986" w14:paraId="4B5A9418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CCE1060" w14:textId="5C0E551C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78570152" w14:textId="14ABF624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29.131</w:t>
            </w:r>
          </w:p>
        </w:tc>
        <w:tc>
          <w:tcPr>
            <w:tcW w:w="2460" w:type="dxa"/>
            <w:vAlign w:val="bottom"/>
          </w:tcPr>
          <w:p w14:paraId="3CDAADCF" w14:textId="240E6CE4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25.456</w:t>
            </w:r>
          </w:p>
        </w:tc>
        <w:tc>
          <w:tcPr>
            <w:tcW w:w="2259" w:type="dxa"/>
            <w:vAlign w:val="bottom"/>
          </w:tcPr>
          <w:p w14:paraId="2C4AC454" w14:textId="587427F1" w:rsidR="00947C3F" w:rsidRPr="007D4AD8" w:rsidRDefault="00947C3F" w:rsidP="0094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14,44%</w:t>
            </w:r>
          </w:p>
        </w:tc>
      </w:tr>
      <w:tr w:rsidR="00947C3F" w:rsidRPr="00CE7986" w14:paraId="23243A8E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CF044CB" w14:textId="77777777" w:rsidR="00947C3F" w:rsidRPr="00CE7986" w:rsidRDefault="00947C3F" w:rsidP="00947C3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588C050C" w14:textId="7B2D1C78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39.013</w:t>
            </w:r>
          </w:p>
        </w:tc>
        <w:tc>
          <w:tcPr>
            <w:tcW w:w="2460" w:type="dxa"/>
            <w:vAlign w:val="bottom"/>
          </w:tcPr>
          <w:p w14:paraId="0EAA8D61" w14:textId="0CAA1238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59.650</w:t>
            </w:r>
          </w:p>
        </w:tc>
        <w:tc>
          <w:tcPr>
            <w:tcW w:w="2259" w:type="dxa"/>
            <w:vAlign w:val="bottom"/>
          </w:tcPr>
          <w:p w14:paraId="3FFE8AEB" w14:textId="77777777" w:rsidR="00947C3F" w:rsidRPr="007D4AD8" w:rsidRDefault="00947C3F" w:rsidP="00947C3F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FE7239E" w14:textId="77777777" w:rsidR="00B2004F" w:rsidRPr="00B2004F" w:rsidRDefault="00B2004F" w:rsidP="00B2004F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SEDEX </w:t>
      </w:r>
      <w:r w:rsidR="00BE3EDD">
        <w:rPr>
          <w:color w:val="4F81BD" w:themeColor="accent1"/>
        </w:rPr>
        <w:t xml:space="preserve">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214E298F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3129ACA2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E9D1F86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CCF49F1" w14:textId="741E03F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754A2D4" w14:textId="76A6D66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4F777A8" w14:textId="22AB894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2EC9414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3E5A8193" w14:textId="48F9816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CE7986" w14:paraId="25A2980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D0A097" w14:textId="6A6A6E35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CAD7D40" w14:textId="1012D66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24,49%</w:t>
            </w:r>
          </w:p>
        </w:tc>
        <w:tc>
          <w:tcPr>
            <w:tcW w:w="1737" w:type="dxa"/>
            <w:noWrap/>
            <w:vAlign w:val="bottom"/>
          </w:tcPr>
          <w:p w14:paraId="16AAC32A" w14:textId="3DB6E2A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16,79%</w:t>
            </w:r>
          </w:p>
        </w:tc>
        <w:tc>
          <w:tcPr>
            <w:tcW w:w="1736" w:type="dxa"/>
            <w:noWrap/>
            <w:vAlign w:val="bottom"/>
          </w:tcPr>
          <w:p w14:paraId="300DDD9A" w14:textId="2C2259AB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7,70%</w:t>
            </w:r>
          </w:p>
        </w:tc>
        <w:tc>
          <w:tcPr>
            <w:tcW w:w="1737" w:type="dxa"/>
            <w:noWrap/>
            <w:vAlign w:val="bottom"/>
          </w:tcPr>
          <w:p w14:paraId="1EFB3164" w14:textId="3CD6BAA8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CE7986" w14:paraId="638B1081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AE2D8F" w14:textId="14C38817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A16C6ED" w14:textId="2C4891A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24,11%</w:t>
            </w:r>
          </w:p>
        </w:tc>
        <w:tc>
          <w:tcPr>
            <w:tcW w:w="1737" w:type="dxa"/>
            <w:noWrap/>
            <w:vAlign w:val="bottom"/>
          </w:tcPr>
          <w:p w14:paraId="36DA553B" w14:textId="77088F7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20,21%</w:t>
            </w:r>
          </w:p>
        </w:tc>
        <w:tc>
          <w:tcPr>
            <w:tcW w:w="1736" w:type="dxa"/>
            <w:noWrap/>
            <w:vAlign w:val="bottom"/>
          </w:tcPr>
          <w:p w14:paraId="710477D2" w14:textId="1E74428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3,90%</w:t>
            </w:r>
          </w:p>
        </w:tc>
        <w:tc>
          <w:tcPr>
            <w:tcW w:w="1737" w:type="dxa"/>
            <w:noWrap/>
            <w:vAlign w:val="bottom"/>
          </w:tcPr>
          <w:p w14:paraId="5375A6C1" w14:textId="6D29631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CE7986" w14:paraId="181A2C4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050F42" w14:textId="67CBB46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227547C" w14:textId="0CD5039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16,60%</w:t>
            </w:r>
          </w:p>
        </w:tc>
        <w:tc>
          <w:tcPr>
            <w:tcW w:w="1737" w:type="dxa"/>
            <w:noWrap/>
            <w:vAlign w:val="bottom"/>
          </w:tcPr>
          <w:p w14:paraId="39E0D60A" w14:textId="62F6F9A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21,24%</w:t>
            </w:r>
          </w:p>
        </w:tc>
        <w:tc>
          <w:tcPr>
            <w:tcW w:w="1736" w:type="dxa"/>
            <w:noWrap/>
            <w:vAlign w:val="bottom"/>
          </w:tcPr>
          <w:p w14:paraId="018011EF" w14:textId="37D4D1B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-4,64%</w:t>
            </w:r>
          </w:p>
        </w:tc>
        <w:tc>
          <w:tcPr>
            <w:tcW w:w="1737" w:type="dxa"/>
            <w:noWrap/>
            <w:vAlign w:val="bottom"/>
          </w:tcPr>
          <w:p w14:paraId="293CAF34" w14:textId="7A7F177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CE7986" w14:paraId="64158810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2111E5" w14:textId="78B478A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2B85093" w14:textId="3E85E76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9,04%</w:t>
            </w:r>
          </w:p>
        </w:tc>
        <w:tc>
          <w:tcPr>
            <w:tcW w:w="1737" w:type="dxa"/>
            <w:noWrap/>
            <w:vAlign w:val="bottom"/>
          </w:tcPr>
          <w:p w14:paraId="23F7F969" w14:textId="320B259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13,18%</w:t>
            </w:r>
          </w:p>
        </w:tc>
        <w:tc>
          <w:tcPr>
            <w:tcW w:w="1736" w:type="dxa"/>
            <w:noWrap/>
            <w:vAlign w:val="bottom"/>
          </w:tcPr>
          <w:p w14:paraId="7B27FB18" w14:textId="70AD32F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-4,14%</w:t>
            </w:r>
          </w:p>
        </w:tc>
        <w:tc>
          <w:tcPr>
            <w:tcW w:w="1737" w:type="dxa"/>
            <w:noWrap/>
            <w:vAlign w:val="bottom"/>
          </w:tcPr>
          <w:p w14:paraId="47D8D2A3" w14:textId="3F8A3C2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CE7986" w14:paraId="4A558014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11A747" w14:textId="3531693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54B23FD" w14:textId="439E8221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7,34%</w:t>
            </w:r>
          </w:p>
        </w:tc>
        <w:tc>
          <w:tcPr>
            <w:tcW w:w="1737" w:type="dxa"/>
            <w:noWrap/>
            <w:vAlign w:val="bottom"/>
          </w:tcPr>
          <w:p w14:paraId="4EB0688B" w14:textId="32F2FE56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5,68%</w:t>
            </w:r>
          </w:p>
        </w:tc>
        <w:tc>
          <w:tcPr>
            <w:tcW w:w="1736" w:type="dxa"/>
            <w:noWrap/>
            <w:vAlign w:val="bottom"/>
          </w:tcPr>
          <w:p w14:paraId="60A768D9" w14:textId="2F13F49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1,66%</w:t>
            </w:r>
          </w:p>
        </w:tc>
        <w:tc>
          <w:tcPr>
            <w:tcW w:w="1737" w:type="dxa"/>
            <w:noWrap/>
            <w:vAlign w:val="bottom"/>
          </w:tcPr>
          <w:p w14:paraId="116E2A32" w14:textId="2B9C4743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CE7986" w14:paraId="6FC92CE6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1F56C8" w14:textId="2566A477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4651167D" w14:textId="6DC03BE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4,44%</w:t>
            </w:r>
          </w:p>
        </w:tc>
        <w:tc>
          <w:tcPr>
            <w:tcW w:w="1737" w:type="dxa"/>
            <w:noWrap/>
            <w:vAlign w:val="bottom"/>
          </w:tcPr>
          <w:p w14:paraId="2FD89F77" w14:textId="02C5E7A1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5,30%</w:t>
            </w:r>
          </w:p>
        </w:tc>
        <w:tc>
          <w:tcPr>
            <w:tcW w:w="1736" w:type="dxa"/>
            <w:noWrap/>
            <w:vAlign w:val="bottom"/>
          </w:tcPr>
          <w:p w14:paraId="246A5AD8" w14:textId="7D53CAA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-0,86%</w:t>
            </w:r>
          </w:p>
        </w:tc>
        <w:tc>
          <w:tcPr>
            <w:tcW w:w="1737" w:type="dxa"/>
            <w:noWrap/>
            <w:vAlign w:val="bottom"/>
          </w:tcPr>
          <w:p w14:paraId="1F2BD64E" w14:textId="1292473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CE7986" w14:paraId="08411B29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CC6719" w14:textId="10C375D5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39BE128" w14:textId="358C263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3,19%</w:t>
            </w:r>
          </w:p>
        </w:tc>
        <w:tc>
          <w:tcPr>
            <w:tcW w:w="1737" w:type="dxa"/>
            <w:noWrap/>
            <w:vAlign w:val="bottom"/>
          </w:tcPr>
          <w:p w14:paraId="2E19826A" w14:textId="5CA33B3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3,95%</w:t>
            </w:r>
          </w:p>
        </w:tc>
        <w:tc>
          <w:tcPr>
            <w:tcW w:w="1736" w:type="dxa"/>
            <w:noWrap/>
            <w:vAlign w:val="bottom"/>
          </w:tcPr>
          <w:p w14:paraId="23ACEFE8" w14:textId="7D24678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-0,76%</w:t>
            </w:r>
          </w:p>
        </w:tc>
        <w:tc>
          <w:tcPr>
            <w:tcW w:w="1737" w:type="dxa"/>
            <w:noWrap/>
            <w:vAlign w:val="bottom"/>
          </w:tcPr>
          <w:p w14:paraId="3C7C5120" w14:textId="78A4941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CE7986" w14:paraId="0A6897CA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BBA1E7" w14:textId="5CD2EFE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6D3EE29F" w14:textId="234B5DBF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2,74%</w:t>
            </w:r>
          </w:p>
        </w:tc>
        <w:tc>
          <w:tcPr>
            <w:tcW w:w="1737" w:type="dxa"/>
            <w:noWrap/>
            <w:vAlign w:val="bottom"/>
          </w:tcPr>
          <w:p w14:paraId="2088E773" w14:textId="1D582B8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3,60%</w:t>
            </w:r>
          </w:p>
        </w:tc>
        <w:tc>
          <w:tcPr>
            <w:tcW w:w="1736" w:type="dxa"/>
            <w:noWrap/>
            <w:vAlign w:val="bottom"/>
          </w:tcPr>
          <w:p w14:paraId="3F23D9A7" w14:textId="5A8A83E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-0,86%</w:t>
            </w:r>
          </w:p>
        </w:tc>
        <w:tc>
          <w:tcPr>
            <w:tcW w:w="1737" w:type="dxa"/>
            <w:noWrap/>
            <w:vAlign w:val="bottom"/>
          </w:tcPr>
          <w:p w14:paraId="5D61C251" w14:textId="0EF4098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CE7986" w14:paraId="606FB0EB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93C53F" w14:textId="431EE94B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502E9CF" w14:textId="13E8CD3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2,22%</w:t>
            </w:r>
          </w:p>
        </w:tc>
        <w:tc>
          <w:tcPr>
            <w:tcW w:w="1737" w:type="dxa"/>
            <w:noWrap/>
            <w:vAlign w:val="bottom"/>
          </w:tcPr>
          <w:p w14:paraId="3BD0A7EE" w14:textId="6516AC0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2,89%</w:t>
            </w:r>
          </w:p>
        </w:tc>
        <w:tc>
          <w:tcPr>
            <w:tcW w:w="1736" w:type="dxa"/>
            <w:noWrap/>
            <w:vAlign w:val="bottom"/>
          </w:tcPr>
          <w:p w14:paraId="4EC7275B" w14:textId="31D3311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-0,67%</w:t>
            </w:r>
          </w:p>
        </w:tc>
        <w:tc>
          <w:tcPr>
            <w:tcW w:w="1737" w:type="dxa"/>
            <w:noWrap/>
            <w:vAlign w:val="bottom"/>
          </w:tcPr>
          <w:p w14:paraId="493DBC5A" w14:textId="0E0FD67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CE7986" w14:paraId="37865548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E31A9D" w14:textId="10A35E2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E80BA73" w14:textId="666016F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1,94%</w:t>
            </w:r>
          </w:p>
        </w:tc>
        <w:tc>
          <w:tcPr>
            <w:tcW w:w="1737" w:type="dxa"/>
            <w:noWrap/>
            <w:vAlign w:val="bottom"/>
          </w:tcPr>
          <w:p w14:paraId="4B7D9735" w14:textId="0F5D29C5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0,91%</w:t>
            </w:r>
          </w:p>
        </w:tc>
        <w:tc>
          <w:tcPr>
            <w:tcW w:w="1736" w:type="dxa"/>
            <w:noWrap/>
            <w:vAlign w:val="bottom"/>
          </w:tcPr>
          <w:p w14:paraId="2C1EA665" w14:textId="0418149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1,03%</w:t>
            </w:r>
          </w:p>
        </w:tc>
        <w:tc>
          <w:tcPr>
            <w:tcW w:w="1737" w:type="dxa"/>
            <w:noWrap/>
            <w:vAlign w:val="bottom"/>
          </w:tcPr>
          <w:p w14:paraId="2EE237E0" w14:textId="2ADB2DF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CE7986" w14:paraId="114110B6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827AE1" w14:textId="357F244A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3B0EDC5" w14:textId="699FF04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0,96%</w:t>
            </w:r>
          </w:p>
        </w:tc>
        <w:tc>
          <w:tcPr>
            <w:tcW w:w="1737" w:type="dxa"/>
            <w:noWrap/>
            <w:vAlign w:val="bottom"/>
          </w:tcPr>
          <w:p w14:paraId="559E64D9" w14:textId="37D1423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2,25%</w:t>
            </w:r>
          </w:p>
        </w:tc>
        <w:tc>
          <w:tcPr>
            <w:tcW w:w="1736" w:type="dxa"/>
            <w:noWrap/>
            <w:vAlign w:val="bottom"/>
          </w:tcPr>
          <w:p w14:paraId="388FC135" w14:textId="71E4EAF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-1,29%</w:t>
            </w:r>
          </w:p>
        </w:tc>
        <w:tc>
          <w:tcPr>
            <w:tcW w:w="1737" w:type="dxa"/>
            <w:noWrap/>
            <w:vAlign w:val="bottom"/>
          </w:tcPr>
          <w:p w14:paraId="7DF3E910" w14:textId="761753DB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CE7986" w14:paraId="5E0A142C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2AE060" w14:textId="77F8ED1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FEE7693" w14:textId="23ABB6C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7" w:type="dxa"/>
            <w:noWrap/>
            <w:vAlign w:val="bottom"/>
          </w:tcPr>
          <w:p w14:paraId="2A47CBFB" w14:textId="0D8F2DF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6" w:type="dxa"/>
            <w:noWrap/>
            <w:vAlign w:val="bottom"/>
          </w:tcPr>
          <w:p w14:paraId="1F69294A" w14:textId="48E3D98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-0,64%</w:t>
            </w:r>
          </w:p>
        </w:tc>
        <w:tc>
          <w:tcPr>
            <w:tcW w:w="1737" w:type="dxa"/>
            <w:noWrap/>
            <w:vAlign w:val="bottom"/>
          </w:tcPr>
          <w:p w14:paraId="2061ABD7" w14:textId="681D576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CE7986" w14:paraId="4930349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3B4B73F" w14:textId="48AFD7B3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06E6CEDF" w14:textId="1CF2C57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7" w:type="dxa"/>
            <w:noWrap/>
            <w:vAlign w:val="bottom"/>
          </w:tcPr>
          <w:p w14:paraId="5F9AF276" w14:textId="288E6576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6" w:type="dxa"/>
            <w:noWrap/>
            <w:vAlign w:val="bottom"/>
          </w:tcPr>
          <w:p w14:paraId="56549493" w14:textId="79D723A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05D4A0F9" w14:textId="4D808C72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CE7986" w14:paraId="266F30A8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5D7CC9" w14:textId="5798E12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72890A40" w14:textId="1F01A88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0E5B3449" w14:textId="1DAAE7F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5BF191E2" w14:textId="4092771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5D76823C" w14:textId="4DEF0D8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CE7986" w14:paraId="443DF11C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AA7659" w14:textId="66E62CDC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08AFB97" w14:textId="2753DEB2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5EE29FBA" w14:textId="57932648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6" w:type="dxa"/>
            <w:noWrap/>
            <w:vAlign w:val="bottom"/>
          </w:tcPr>
          <w:p w14:paraId="3716948A" w14:textId="43308D4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784D302C" w14:textId="38A8663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CE7986" w14:paraId="70E7E857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579305" w14:textId="2F66E14B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5AFE41C" w14:textId="18DDB76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17CECFFB" w14:textId="0CD1333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740D806F" w14:textId="50A5E40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450521A1" w14:textId="0729926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CE7986" w14:paraId="7F20DF2A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C93D0E" w14:textId="60E11855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23807D8" w14:textId="366F5C3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7A91C76D" w14:textId="6931233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459C9842" w14:textId="1D21A7A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2389F8F7" w14:textId="2F29E9B1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CE7986" w14:paraId="0FD2EC90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1E3A62" w14:textId="75F70955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41B27946" w14:textId="212E008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76E34AB1" w14:textId="7CD6542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6" w:type="dxa"/>
            <w:noWrap/>
            <w:vAlign w:val="bottom"/>
          </w:tcPr>
          <w:p w14:paraId="08B56775" w14:textId="4567C06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-0,94%</w:t>
            </w:r>
          </w:p>
        </w:tc>
        <w:tc>
          <w:tcPr>
            <w:tcW w:w="1737" w:type="dxa"/>
            <w:noWrap/>
            <w:vAlign w:val="bottom"/>
          </w:tcPr>
          <w:p w14:paraId="324EB06C" w14:textId="384CEDAF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CE7986" w14:paraId="6222714E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CA152C" w14:textId="7A472A3D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489B100D" w14:textId="172C53E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7FC39F1B" w14:textId="1A9CAF5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EBBCD97" w14:textId="07FFB3A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55CADA38" w14:textId="779C3B6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CE7986" w14:paraId="2EF86F28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61AACE" w14:textId="3FA0A70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3E28922" w14:textId="113591A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04B3D790" w14:textId="4F20F3F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02616C9C" w14:textId="3E3CAEE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-0,15%</w:t>
            </w:r>
          </w:p>
        </w:tc>
        <w:tc>
          <w:tcPr>
            <w:tcW w:w="1737" w:type="dxa"/>
            <w:noWrap/>
            <w:vAlign w:val="bottom"/>
          </w:tcPr>
          <w:p w14:paraId="6E90401C" w14:textId="390E17F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CE7986" w14:paraId="79706C29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CD1B30" w14:textId="6CBA9FAB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5698C91E" w14:textId="4E8C58C2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E686515" w14:textId="7935EB3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5FAA0A8" w14:textId="248D3D3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AF2388E" w14:textId="5971AB9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77B20" w:rsidRPr="00CE7986" w14:paraId="49634FDE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F25328" w14:textId="78CF8B93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336D25E2" w14:textId="4D2A858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D532EB5" w14:textId="73527BD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B33CD43" w14:textId="3E66C0F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D5678C2" w14:textId="0705FBAF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77B20" w:rsidRPr="00CE7986" w14:paraId="2DD55479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FBC3A1" w14:textId="0B951948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328CB202" w14:textId="71F7952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A95CB3F" w14:textId="4222DE2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FA31C88" w14:textId="4EB0585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F8A75C7" w14:textId="5E3A4FA8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277B20" w:rsidRPr="00CE7986" w14:paraId="5520C20F" w14:textId="77777777" w:rsidTr="00277B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165F20" w14:textId="77777777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14C3F2B" w14:textId="2A4E8BE7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52027DE" w14:textId="678667F2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DA641EB" w14:textId="77777777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E3BBF24" w14:textId="77777777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12B8143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4C1AE8F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552A07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DE3642C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786F5EE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F956E60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281A2D41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AEC7CCA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D7C200F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DE6AEA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5C6EFE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BEEED80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698D5260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F46E3B8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D9AB9CD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3D6AA8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594B64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5AE44A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4573809D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D9E092F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2D347E2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E79940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9308BBC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66D982B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6170891A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B19DC73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A2B2AAE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511154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B6A03E3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D23CCB0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7066427B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5488C61" w14:textId="77777777" w:rsidR="00B2004F" w:rsidRPr="00CE7986" w:rsidRDefault="00B2004F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B3E283A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A99FB61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04DAEEC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F3C8926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004F" w:rsidRPr="00CE7986" w14:paraId="515EF2AF" w14:textId="77777777" w:rsidTr="007D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11540F" w14:textId="77777777" w:rsidR="00B2004F" w:rsidRPr="00CE7986" w:rsidRDefault="00B2004F" w:rsidP="007D4AD8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9D2822B" w14:textId="77777777" w:rsidR="00B2004F" w:rsidRPr="00CE7986" w:rsidRDefault="00B2004F" w:rsidP="007D4AD8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BD8605F" w14:textId="77777777" w:rsidR="00B2004F" w:rsidRPr="00CE7986" w:rsidRDefault="00B2004F" w:rsidP="007D4AD8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6F5F18D" w14:textId="77777777" w:rsidR="00B2004F" w:rsidRPr="00CE7986" w:rsidRDefault="00B2004F" w:rsidP="007D4AD8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440B4A5" w14:textId="77777777" w:rsidR="00B2004F" w:rsidRPr="00CE7986" w:rsidRDefault="00B2004F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CE7986" w14:paraId="30D0B046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2910E1F" w14:textId="77777777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51D7A057" w14:textId="0979057F" w:rsidR="00277B20" w:rsidRPr="00B1197D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99,89%</w:t>
            </w:r>
          </w:p>
        </w:tc>
        <w:tc>
          <w:tcPr>
            <w:tcW w:w="1737" w:type="dxa"/>
            <w:noWrap/>
            <w:vAlign w:val="bottom"/>
          </w:tcPr>
          <w:p w14:paraId="582F04B8" w14:textId="02D48D5E" w:rsidR="00277B20" w:rsidRPr="00B1197D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96,24%</w:t>
            </w:r>
          </w:p>
        </w:tc>
        <w:tc>
          <w:tcPr>
            <w:tcW w:w="1736" w:type="dxa"/>
            <w:noWrap/>
            <w:vAlign w:val="center"/>
          </w:tcPr>
          <w:p w14:paraId="1ED4DBE4" w14:textId="77777777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7047385" w14:textId="77777777" w:rsidR="00277B20" w:rsidRPr="00CE7986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1074A0A" w14:textId="77777777" w:rsidR="00C07DDA" w:rsidRPr="00CE7986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E7986" w14:paraId="2D5161AF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FB04EF5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9D1C101" w14:textId="4F5ADD8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EE61F74" w14:textId="4DD58A2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CE7986" w14:paraId="2F2B0557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61D476C" w14:textId="4D676D47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4C49D3B3" w14:textId="2C33B06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81,59%</w:t>
            </w:r>
          </w:p>
        </w:tc>
        <w:tc>
          <w:tcPr>
            <w:tcW w:w="2977" w:type="dxa"/>
            <w:vAlign w:val="bottom"/>
          </w:tcPr>
          <w:p w14:paraId="474B4F38" w14:textId="5604200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77,10%</w:t>
            </w:r>
          </w:p>
        </w:tc>
      </w:tr>
      <w:tr w:rsidR="00277B20" w:rsidRPr="00CE7986" w14:paraId="05CF6D55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078A6F6" w14:textId="5023575B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4FA9E25D" w14:textId="774DDC5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96,13%</w:t>
            </w:r>
          </w:p>
        </w:tc>
        <w:tc>
          <w:tcPr>
            <w:tcW w:w="2977" w:type="dxa"/>
            <w:vAlign w:val="bottom"/>
          </w:tcPr>
          <w:p w14:paraId="435DF010" w14:textId="010A3AF1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95,11%</w:t>
            </w:r>
          </w:p>
        </w:tc>
      </w:tr>
    </w:tbl>
    <w:p w14:paraId="01A20F5A" w14:textId="77777777" w:rsidR="00C07DDA" w:rsidRPr="00CE7986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E7986" w14:paraId="5E2483FB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133AF62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76DC2B93" w14:textId="6A2313CA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77809E0F" w14:textId="4C2ED93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1C3CA8CD" w14:textId="77777777" w:rsidR="00A635A4" w:rsidRPr="00CE7986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Variazione</w:t>
            </w:r>
          </w:p>
        </w:tc>
      </w:tr>
      <w:tr w:rsidR="00277B20" w:rsidRPr="00CE7986" w14:paraId="51E7AEF2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9E82746" w14:textId="77777777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1A378245" w14:textId="2D4BEFC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10.039.041.157</w:t>
            </w:r>
          </w:p>
        </w:tc>
        <w:tc>
          <w:tcPr>
            <w:tcW w:w="2460" w:type="dxa"/>
            <w:vAlign w:val="bottom"/>
          </w:tcPr>
          <w:p w14:paraId="5E8D62BD" w14:textId="553A618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9.106.119.465</w:t>
            </w:r>
          </w:p>
        </w:tc>
        <w:tc>
          <w:tcPr>
            <w:tcW w:w="2259" w:type="dxa"/>
            <w:vAlign w:val="bottom"/>
          </w:tcPr>
          <w:p w14:paraId="7111C60C" w14:textId="3BBCA01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10,24%</w:t>
            </w:r>
          </w:p>
        </w:tc>
      </w:tr>
      <w:tr w:rsidR="00277B20" w:rsidRPr="00CE7986" w14:paraId="65DDC9C3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02F6C08" w14:textId="23CAF93A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76503AE1" w14:textId="4E5715C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1.372.120</w:t>
            </w:r>
          </w:p>
        </w:tc>
        <w:tc>
          <w:tcPr>
            <w:tcW w:w="2460" w:type="dxa"/>
            <w:vAlign w:val="bottom"/>
          </w:tcPr>
          <w:p w14:paraId="7EEFD0FB" w14:textId="7DEA872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1.321.398</w:t>
            </w:r>
          </w:p>
        </w:tc>
        <w:tc>
          <w:tcPr>
            <w:tcW w:w="2259" w:type="dxa"/>
            <w:vAlign w:val="bottom"/>
          </w:tcPr>
          <w:p w14:paraId="51312824" w14:textId="295078B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3,84%</w:t>
            </w:r>
          </w:p>
        </w:tc>
      </w:tr>
      <w:tr w:rsidR="00277B20" w:rsidRPr="00CE7986" w14:paraId="27AF5EC0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8923222" w14:textId="77777777" w:rsidR="00277B20" w:rsidRPr="00CE7986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6B99F23A" w14:textId="0F336371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7.316</w:t>
            </w:r>
          </w:p>
        </w:tc>
        <w:tc>
          <w:tcPr>
            <w:tcW w:w="2460" w:type="dxa"/>
            <w:vAlign w:val="bottom"/>
          </w:tcPr>
          <w:p w14:paraId="0BEE9DE6" w14:textId="417A958E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6.891</w:t>
            </w:r>
          </w:p>
        </w:tc>
        <w:tc>
          <w:tcPr>
            <w:tcW w:w="2259" w:type="dxa"/>
            <w:vAlign w:val="bottom"/>
          </w:tcPr>
          <w:p w14:paraId="5C2C39B9" w14:textId="7777777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DD2BED9" w14:textId="77777777" w:rsidR="00B2004F" w:rsidRPr="00B2004F" w:rsidRDefault="00B2004F" w:rsidP="00B2004F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 w:rsidR="00F858F3">
        <w:rPr>
          <w:color w:val="4F81BD" w:themeColor="accent1"/>
        </w:rPr>
        <w:t xml:space="preserve">ETFPLUS </w:t>
      </w:r>
      <w:r w:rsidR="00BE3EDD">
        <w:rPr>
          <w:color w:val="4F81BD" w:themeColor="accent1"/>
        </w:rPr>
        <w:t xml:space="preserve">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68F04F2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6026A6BC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619F145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0C49DD4E" w14:textId="4DC4DD0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8BBA8C5" w14:textId="3696A8A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2464038" w14:textId="5F5E4B9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3E6A65C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E3130B7" w14:textId="1288CB3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4F1EB0" w14:paraId="137B5647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D7545C" w14:textId="5A8B2F2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0CC33FF" w14:textId="289C1A7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16,38%</w:t>
            </w:r>
          </w:p>
        </w:tc>
        <w:tc>
          <w:tcPr>
            <w:tcW w:w="1737" w:type="dxa"/>
            <w:noWrap/>
            <w:vAlign w:val="bottom"/>
          </w:tcPr>
          <w:p w14:paraId="64F3B106" w14:textId="07B055B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11,78%</w:t>
            </w:r>
          </w:p>
        </w:tc>
        <w:tc>
          <w:tcPr>
            <w:tcW w:w="1736" w:type="dxa"/>
            <w:noWrap/>
            <w:vAlign w:val="bottom"/>
          </w:tcPr>
          <w:p w14:paraId="73DB28E4" w14:textId="12D6464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4,59%</w:t>
            </w:r>
          </w:p>
        </w:tc>
        <w:tc>
          <w:tcPr>
            <w:tcW w:w="1737" w:type="dxa"/>
            <w:noWrap/>
            <w:vAlign w:val="bottom"/>
          </w:tcPr>
          <w:p w14:paraId="39BC9A61" w14:textId="4153972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4F1EB0" w14:paraId="0E4153C4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A9AFDD" w14:textId="3EDA2F7F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1CCBBD3" w14:textId="535CF8C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9,18%</w:t>
            </w:r>
          </w:p>
        </w:tc>
        <w:tc>
          <w:tcPr>
            <w:tcW w:w="1737" w:type="dxa"/>
            <w:noWrap/>
            <w:vAlign w:val="bottom"/>
          </w:tcPr>
          <w:p w14:paraId="564E884F" w14:textId="30C185E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5,87%</w:t>
            </w:r>
          </w:p>
        </w:tc>
        <w:tc>
          <w:tcPr>
            <w:tcW w:w="1736" w:type="dxa"/>
            <w:noWrap/>
            <w:vAlign w:val="bottom"/>
          </w:tcPr>
          <w:p w14:paraId="1DD025E1" w14:textId="0B3A8F9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3,31%</w:t>
            </w:r>
          </w:p>
        </w:tc>
        <w:tc>
          <w:tcPr>
            <w:tcW w:w="1737" w:type="dxa"/>
            <w:noWrap/>
            <w:vAlign w:val="bottom"/>
          </w:tcPr>
          <w:p w14:paraId="5549E0C9" w14:textId="60A34ED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4F1EB0" w14:paraId="747CBB80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374A62" w14:textId="7413CC9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32D9D0C" w14:textId="369DACAE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7,70%</w:t>
            </w:r>
          </w:p>
        </w:tc>
        <w:tc>
          <w:tcPr>
            <w:tcW w:w="1737" w:type="dxa"/>
            <w:noWrap/>
            <w:vAlign w:val="bottom"/>
          </w:tcPr>
          <w:p w14:paraId="57EE8A2F" w14:textId="59F65C9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6,59%</w:t>
            </w:r>
          </w:p>
        </w:tc>
        <w:tc>
          <w:tcPr>
            <w:tcW w:w="1736" w:type="dxa"/>
            <w:noWrap/>
            <w:vAlign w:val="bottom"/>
          </w:tcPr>
          <w:p w14:paraId="75380915" w14:textId="5B4BBED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1,12%</w:t>
            </w:r>
          </w:p>
        </w:tc>
        <w:tc>
          <w:tcPr>
            <w:tcW w:w="1737" w:type="dxa"/>
            <w:noWrap/>
            <w:vAlign w:val="bottom"/>
          </w:tcPr>
          <w:p w14:paraId="01C16CEF" w14:textId="03E5F73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4F1EB0" w14:paraId="63E0C3BB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03223EC" w14:textId="284A6F3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E990068" w14:textId="4A98A60F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6,24%</w:t>
            </w:r>
          </w:p>
        </w:tc>
        <w:tc>
          <w:tcPr>
            <w:tcW w:w="1737" w:type="dxa"/>
            <w:noWrap/>
            <w:vAlign w:val="bottom"/>
          </w:tcPr>
          <w:p w14:paraId="5EB1705E" w14:textId="5D275F9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4,95%</w:t>
            </w:r>
          </w:p>
        </w:tc>
        <w:tc>
          <w:tcPr>
            <w:tcW w:w="1736" w:type="dxa"/>
            <w:noWrap/>
            <w:vAlign w:val="bottom"/>
          </w:tcPr>
          <w:p w14:paraId="5830B724" w14:textId="4A8A40E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1,29%</w:t>
            </w:r>
          </w:p>
        </w:tc>
        <w:tc>
          <w:tcPr>
            <w:tcW w:w="1737" w:type="dxa"/>
            <w:noWrap/>
            <w:vAlign w:val="bottom"/>
          </w:tcPr>
          <w:p w14:paraId="5FEEB69E" w14:textId="34E7AD3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4F1EB0" w14:paraId="15B33A12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C1D232" w14:textId="36EDCB2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66A9AC44" w14:textId="5B97C11B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5,35%</w:t>
            </w:r>
          </w:p>
        </w:tc>
        <w:tc>
          <w:tcPr>
            <w:tcW w:w="1737" w:type="dxa"/>
            <w:noWrap/>
            <w:vAlign w:val="bottom"/>
          </w:tcPr>
          <w:p w14:paraId="1642A052" w14:textId="67D80126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5,31%</w:t>
            </w:r>
          </w:p>
        </w:tc>
        <w:tc>
          <w:tcPr>
            <w:tcW w:w="1736" w:type="dxa"/>
            <w:noWrap/>
            <w:vAlign w:val="bottom"/>
          </w:tcPr>
          <w:p w14:paraId="150D27AF" w14:textId="64B0EE9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34B81966" w14:textId="72BCE96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4F1EB0" w14:paraId="5F105216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C77A1E" w14:textId="5452B4C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AA47F81" w14:textId="03EE6ED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4,08%</w:t>
            </w:r>
          </w:p>
        </w:tc>
        <w:tc>
          <w:tcPr>
            <w:tcW w:w="1737" w:type="dxa"/>
            <w:noWrap/>
            <w:vAlign w:val="bottom"/>
          </w:tcPr>
          <w:p w14:paraId="73BC50F3" w14:textId="6D1F168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4,55%</w:t>
            </w:r>
          </w:p>
        </w:tc>
        <w:tc>
          <w:tcPr>
            <w:tcW w:w="1736" w:type="dxa"/>
            <w:noWrap/>
            <w:vAlign w:val="bottom"/>
          </w:tcPr>
          <w:p w14:paraId="1A7A795C" w14:textId="5CB1275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-0,47%</w:t>
            </w:r>
          </w:p>
        </w:tc>
        <w:tc>
          <w:tcPr>
            <w:tcW w:w="1737" w:type="dxa"/>
            <w:noWrap/>
            <w:vAlign w:val="bottom"/>
          </w:tcPr>
          <w:p w14:paraId="678E744B" w14:textId="13401CA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4F1EB0" w14:paraId="78BB1CCF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2A04F7" w14:textId="1D976ABD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370D2B95" w14:textId="54E6A01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3,74%</w:t>
            </w:r>
          </w:p>
        </w:tc>
        <w:tc>
          <w:tcPr>
            <w:tcW w:w="1737" w:type="dxa"/>
            <w:noWrap/>
            <w:vAlign w:val="bottom"/>
          </w:tcPr>
          <w:p w14:paraId="0F4DC148" w14:textId="2E994F01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2,63%</w:t>
            </w:r>
          </w:p>
        </w:tc>
        <w:tc>
          <w:tcPr>
            <w:tcW w:w="1736" w:type="dxa"/>
            <w:noWrap/>
            <w:vAlign w:val="bottom"/>
          </w:tcPr>
          <w:p w14:paraId="34FCABF1" w14:textId="4A78A45E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1,11%</w:t>
            </w:r>
          </w:p>
        </w:tc>
        <w:tc>
          <w:tcPr>
            <w:tcW w:w="1737" w:type="dxa"/>
            <w:noWrap/>
            <w:vAlign w:val="bottom"/>
          </w:tcPr>
          <w:p w14:paraId="5C5D0CA6" w14:textId="11467D2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4F1EB0" w14:paraId="4629C6D9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D4D2F9B" w14:textId="583CBE59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5281145" w14:textId="2D5F537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3,46%</w:t>
            </w:r>
          </w:p>
        </w:tc>
        <w:tc>
          <w:tcPr>
            <w:tcW w:w="1737" w:type="dxa"/>
            <w:noWrap/>
            <w:vAlign w:val="bottom"/>
          </w:tcPr>
          <w:p w14:paraId="7D2B543C" w14:textId="3D11F51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4,09%</w:t>
            </w:r>
          </w:p>
        </w:tc>
        <w:tc>
          <w:tcPr>
            <w:tcW w:w="1736" w:type="dxa"/>
            <w:noWrap/>
            <w:vAlign w:val="bottom"/>
          </w:tcPr>
          <w:p w14:paraId="024B8FA4" w14:textId="74F44CA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-0,63%</w:t>
            </w:r>
          </w:p>
        </w:tc>
        <w:tc>
          <w:tcPr>
            <w:tcW w:w="1737" w:type="dxa"/>
            <w:noWrap/>
            <w:vAlign w:val="bottom"/>
          </w:tcPr>
          <w:p w14:paraId="27D23436" w14:textId="5B2E29B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4F1EB0" w14:paraId="36F4CED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BBE4B66" w14:textId="15042DFA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E5F565A" w14:textId="5C647C0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3,20%</w:t>
            </w:r>
          </w:p>
        </w:tc>
        <w:tc>
          <w:tcPr>
            <w:tcW w:w="1737" w:type="dxa"/>
            <w:noWrap/>
            <w:vAlign w:val="bottom"/>
          </w:tcPr>
          <w:p w14:paraId="0A80B3C8" w14:textId="15F6F8D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3,59%</w:t>
            </w:r>
          </w:p>
        </w:tc>
        <w:tc>
          <w:tcPr>
            <w:tcW w:w="1736" w:type="dxa"/>
            <w:noWrap/>
            <w:vAlign w:val="bottom"/>
          </w:tcPr>
          <w:p w14:paraId="067DC784" w14:textId="3EB4A02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-0,39%</w:t>
            </w:r>
          </w:p>
        </w:tc>
        <w:tc>
          <w:tcPr>
            <w:tcW w:w="1737" w:type="dxa"/>
            <w:noWrap/>
            <w:vAlign w:val="bottom"/>
          </w:tcPr>
          <w:p w14:paraId="225BCDD9" w14:textId="3270C86B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4F1EB0" w14:paraId="59C625B0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AF826A" w14:textId="2BC578F4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02B0FD3" w14:textId="51BDF87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2,83%</w:t>
            </w:r>
          </w:p>
        </w:tc>
        <w:tc>
          <w:tcPr>
            <w:tcW w:w="1737" w:type="dxa"/>
            <w:noWrap/>
            <w:vAlign w:val="bottom"/>
          </w:tcPr>
          <w:p w14:paraId="7F0ADA08" w14:textId="7FF0CBA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1,30%</w:t>
            </w:r>
          </w:p>
        </w:tc>
        <w:tc>
          <w:tcPr>
            <w:tcW w:w="1736" w:type="dxa"/>
            <w:noWrap/>
            <w:vAlign w:val="bottom"/>
          </w:tcPr>
          <w:p w14:paraId="5E5B5094" w14:textId="53C2E11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1,53%</w:t>
            </w:r>
          </w:p>
        </w:tc>
        <w:tc>
          <w:tcPr>
            <w:tcW w:w="1737" w:type="dxa"/>
            <w:noWrap/>
            <w:vAlign w:val="bottom"/>
          </w:tcPr>
          <w:p w14:paraId="702F185A" w14:textId="764264E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4F1EB0" w14:paraId="2532B35B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A0A77B" w14:textId="6C25F68A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B45EBA8" w14:textId="076FF97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7" w:type="dxa"/>
            <w:noWrap/>
            <w:vAlign w:val="bottom"/>
          </w:tcPr>
          <w:p w14:paraId="346E5AEF" w14:textId="6DC1B19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2,35%</w:t>
            </w:r>
          </w:p>
        </w:tc>
        <w:tc>
          <w:tcPr>
            <w:tcW w:w="1736" w:type="dxa"/>
            <w:noWrap/>
            <w:vAlign w:val="bottom"/>
          </w:tcPr>
          <w:p w14:paraId="08A34092" w14:textId="3AC65DD2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-0,28%</w:t>
            </w:r>
          </w:p>
        </w:tc>
        <w:tc>
          <w:tcPr>
            <w:tcW w:w="1737" w:type="dxa"/>
            <w:noWrap/>
            <w:vAlign w:val="bottom"/>
          </w:tcPr>
          <w:p w14:paraId="79F0C7EC" w14:textId="670A203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4F1EB0" w14:paraId="60C962F7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5175F09" w14:textId="0A8309DF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CA59FDC" w14:textId="601E575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1,74%</w:t>
            </w:r>
          </w:p>
        </w:tc>
        <w:tc>
          <w:tcPr>
            <w:tcW w:w="1737" w:type="dxa"/>
            <w:noWrap/>
            <w:vAlign w:val="bottom"/>
          </w:tcPr>
          <w:p w14:paraId="48F26841" w14:textId="0709D90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16965B56" w14:textId="1FD7F0B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213A9DED" w14:textId="3A3B1432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4F1EB0" w14:paraId="028B0D3E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E67DB7" w14:textId="078288FA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2D71A31C" w14:textId="35CD84E3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1,68%</w:t>
            </w:r>
          </w:p>
        </w:tc>
        <w:tc>
          <w:tcPr>
            <w:tcW w:w="1737" w:type="dxa"/>
            <w:noWrap/>
            <w:vAlign w:val="bottom"/>
          </w:tcPr>
          <w:p w14:paraId="7B8B238A" w14:textId="286FB66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1,91%</w:t>
            </w:r>
          </w:p>
        </w:tc>
        <w:tc>
          <w:tcPr>
            <w:tcW w:w="1736" w:type="dxa"/>
            <w:noWrap/>
            <w:vAlign w:val="bottom"/>
          </w:tcPr>
          <w:p w14:paraId="23DF5215" w14:textId="60B67C1E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-0,23%</w:t>
            </w:r>
          </w:p>
        </w:tc>
        <w:tc>
          <w:tcPr>
            <w:tcW w:w="1737" w:type="dxa"/>
            <w:noWrap/>
            <w:vAlign w:val="bottom"/>
          </w:tcPr>
          <w:p w14:paraId="495CA74D" w14:textId="53C462C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4F1EB0" w14:paraId="3550E591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87B5F4" w14:textId="300EBBB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105C0E7D" w14:textId="40436D1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1,43%</w:t>
            </w:r>
          </w:p>
        </w:tc>
        <w:tc>
          <w:tcPr>
            <w:tcW w:w="1737" w:type="dxa"/>
            <w:noWrap/>
            <w:vAlign w:val="bottom"/>
          </w:tcPr>
          <w:p w14:paraId="36A48869" w14:textId="75BDB604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2,37%</w:t>
            </w:r>
          </w:p>
        </w:tc>
        <w:tc>
          <w:tcPr>
            <w:tcW w:w="1736" w:type="dxa"/>
            <w:noWrap/>
            <w:vAlign w:val="bottom"/>
          </w:tcPr>
          <w:p w14:paraId="6111E40F" w14:textId="09FCB86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-0,94%</w:t>
            </w:r>
          </w:p>
        </w:tc>
        <w:tc>
          <w:tcPr>
            <w:tcW w:w="1737" w:type="dxa"/>
            <w:noWrap/>
            <w:vAlign w:val="bottom"/>
          </w:tcPr>
          <w:p w14:paraId="0666EAF8" w14:textId="3F3B387C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4F1EB0" w14:paraId="0F01DA1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83AB5D" w14:textId="5DF2CA8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0551F7C3" w14:textId="46519DC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1,33%</w:t>
            </w:r>
          </w:p>
        </w:tc>
        <w:tc>
          <w:tcPr>
            <w:tcW w:w="1737" w:type="dxa"/>
            <w:noWrap/>
            <w:vAlign w:val="bottom"/>
          </w:tcPr>
          <w:p w14:paraId="349AB9C0" w14:textId="441F90B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6" w:type="dxa"/>
            <w:noWrap/>
            <w:vAlign w:val="bottom"/>
          </w:tcPr>
          <w:p w14:paraId="2ED4C049" w14:textId="0A00CFF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-0,15%</w:t>
            </w:r>
          </w:p>
        </w:tc>
        <w:tc>
          <w:tcPr>
            <w:tcW w:w="1737" w:type="dxa"/>
            <w:noWrap/>
            <w:vAlign w:val="bottom"/>
          </w:tcPr>
          <w:p w14:paraId="32E17993" w14:textId="5C373C1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4F1EB0" w14:paraId="4AB20611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177399" w14:textId="4E09979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7FBAA1F9" w14:textId="6108ABF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7" w:type="dxa"/>
            <w:noWrap/>
            <w:vAlign w:val="bottom"/>
          </w:tcPr>
          <w:p w14:paraId="35E4D527" w14:textId="24BAA44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0,95%</w:t>
            </w:r>
          </w:p>
        </w:tc>
        <w:tc>
          <w:tcPr>
            <w:tcW w:w="1736" w:type="dxa"/>
            <w:noWrap/>
            <w:vAlign w:val="bottom"/>
          </w:tcPr>
          <w:p w14:paraId="26D21136" w14:textId="273C5D4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63EB0880" w14:textId="51D35CCF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4F1EB0" w14:paraId="292EDD89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9FA5C6" w14:textId="349C603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9A77079" w14:textId="6E250BB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0,89%</w:t>
            </w:r>
          </w:p>
        </w:tc>
        <w:tc>
          <w:tcPr>
            <w:tcW w:w="1737" w:type="dxa"/>
            <w:noWrap/>
            <w:vAlign w:val="bottom"/>
          </w:tcPr>
          <w:p w14:paraId="3792C01A" w14:textId="1E3EE8C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1,10%</w:t>
            </w:r>
          </w:p>
        </w:tc>
        <w:tc>
          <w:tcPr>
            <w:tcW w:w="1736" w:type="dxa"/>
            <w:noWrap/>
            <w:vAlign w:val="bottom"/>
          </w:tcPr>
          <w:p w14:paraId="13E07FBD" w14:textId="6E752C2D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-0,21%</w:t>
            </w:r>
          </w:p>
        </w:tc>
        <w:tc>
          <w:tcPr>
            <w:tcW w:w="1737" w:type="dxa"/>
            <w:noWrap/>
            <w:vAlign w:val="bottom"/>
          </w:tcPr>
          <w:p w14:paraId="2691246B" w14:textId="202CAD4A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4F1EB0" w14:paraId="032ECC20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F5A13F" w14:textId="6D00BBEF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B37A483" w14:textId="5036A7A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7" w:type="dxa"/>
            <w:noWrap/>
            <w:vAlign w:val="bottom"/>
          </w:tcPr>
          <w:p w14:paraId="60AEF906" w14:textId="5BCB6865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6" w:type="dxa"/>
            <w:noWrap/>
            <w:vAlign w:val="bottom"/>
          </w:tcPr>
          <w:p w14:paraId="3394474D" w14:textId="2570CEA6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5A8032EE" w14:textId="73B4759E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77B20" w:rsidRPr="004F1EB0" w14:paraId="21C8899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599E2C" w14:textId="6D111AE4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A15E0D1" w14:textId="44419DA1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445E92CF" w14:textId="24490C9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7B32E3B7" w14:textId="2175EF2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6A56DF7C" w14:textId="4464784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77B20" w:rsidRPr="004F1EB0" w14:paraId="517AC85F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5523A46" w14:textId="5D66C56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5E92448D" w14:textId="4AAF240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2C5CCD1C" w14:textId="3C06222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7F35769F" w14:textId="5259AE9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4114AE98" w14:textId="558C21C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277B20" w:rsidRPr="004F1EB0" w14:paraId="65C26AA3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E65C577" w14:textId="7BF80B2E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51556815" w14:textId="75D1DFA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5486BF3A" w14:textId="0F7D813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6,16%</w:t>
            </w:r>
          </w:p>
        </w:tc>
        <w:tc>
          <w:tcPr>
            <w:tcW w:w="1736" w:type="dxa"/>
            <w:noWrap/>
            <w:vAlign w:val="bottom"/>
          </w:tcPr>
          <w:p w14:paraId="5062E67E" w14:textId="5CD26DA6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-6,13%</w:t>
            </w:r>
          </w:p>
        </w:tc>
        <w:tc>
          <w:tcPr>
            <w:tcW w:w="1737" w:type="dxa"/>
            <w:noWrap/>
            <w:vAlign w:val="bottom"/>
          </w:tcPr>
          <w:p w14:paraId="7D31421E" w14:textId="0FC55745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4F1EB0" w14:paraId="0D784432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E81E539" w14:textId="20B19D01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0843BF23" w14:textId="58E0E5E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A0845E8" w14:textId="46E0FE7A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2,41%</w:t>
            </w:r>
          </w:p>
        </w:tc>
        <w:tc>
          <w:tcPr>
            <w:tcW w:w="1736" w:type="dxa"/>
            <w:noWrap/>
            <w:vAlign w:val="bottom"/>
          </w:tcPr>
          <w:p w14:paraId="1A6EA4DC" w14:textId="408F583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-2,39%</w:t>
            </w:r>
          </w:p>
        </w:tc>
        <w:tc>
          <w:tcPr>
            <w:tcW w:w="1737" w:type="dxa"/>
            <w:noWrap/>
            <w:vAlign w:val="bottom"/>
          </w:tcPr>
          <w:p w14:paraId="21B73BA7" w14:textId="56377A1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4F1EB0" w14:paraId="0A7914B2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DCF36D" w14:textId="29547F5B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C737E75" w14:textId="29A6913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5C70A85" w14:textId="761DA592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FEB7D1C" w14:textId="6A65D3E3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82B917D" w14:textId="5F7EA36C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277B20" w:rsidRPr="004F1EB0" w14:paraId="51762296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1BB18D" w14:textId="18505F06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B775399" w14:textId="5E5A1529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BCF0B92" w14:textId="40EAB7A3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0FBA49A" w14:textId="0793B7B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E66323" w14:textId="48FBB69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277B20" w:rsidRPr="004F1EB0" w14:paraId="30C0D74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19AB7C" w14:textId="7B992AF4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FD48977" w14:textId="3E11B9E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7AA76C4" w14:textId="4915455B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19B238E" w14:textId="5012929E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7AFDD11" w14:textId="738F9A1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277B20" w:rsidRPr="004F1EB0" w14:paraId="4F0B12FC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0E98AD" w14:textId="6716D392" w:rsidR="00277B20" w:rsidRPr="007D4AD8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58040A4D" w14:textId="71BF6DD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E0C03B7" w14:textId="57E6B1B8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6" w:type="dxa"/>
            <w:noWrap/>
            <w:vAlign w:val="bottom"/>
          </w:tcPr>
          <w:p w14:paraId="1DF751DC" w14:textId="483CB231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-0,75%</w:t>
            </w:r>
          </w:p>
        </w:tc>
        <w:tc>
          <w:tcPr>
            <w:tcW w:w="1737" w:type="dxa"/>
            <w:noWrap/>
            <w:vAlign w:val="bottom"/>
          </w:tcPr>
          <w:p w14:paraId="340C1840" w14:textId="5B8CCD2D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4F1EB0" w14:paraId="53EEEE5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E42F2D" w14:textId="5EB17A49" w:rsidR="00277B20" w:rsidRPr="007D4AD8" w:rsidRDefault="00277B20" w:rsidP="00277B2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AF2C530" w14:textId="3C13BFE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E839562" w14:textId="67F1A354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906AD5D" w14:textId="0C382CD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0359DAD" w14:textId="4E722667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197D" w:rsidRPr="004F1EB0" w14:paraId="317B4F9B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3A0FB8" w14:textId="6D659AB4" w:rsidR="00B1197D" w:rsidRPr="004F1EB0" w:rsidRDefault="00B1197D" w:rsidP="00B1197D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E79BB58" w14:textId="4E59FDAC" w:rsidR="00B1197D" w:rsidRPr="004F1EB0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F14ECF8" w14:textId="14D51A2D" w:rsidR="00B1197D" w:rsidRPr="004F1EB0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0D3C34F" w14:textId="62453A29" w:rsidR="00B1197D" w:rsidRPr="004F1EB0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6F85FAC" w14:textId="59AD23DA" w:rsidR="00B1197D" w:rsidRPr="004F1EB0" w:rsidRDefault="00B1197D" w:rsidP="00B1197D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5241" w:rsidRPr="004F1EB0" w14:paraId="41600C73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2A9CC8A" w14:textId="77777777" w:rsidR="00645241" w:rsidRPr="004F1EB0" w:rsidRDefault="00645241" w:rsidP="00645241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718C52B" w14:textId="726F1E4F" w:rsidR="00645241" w:rsidRPr="004F1EB0" w:rsidRDefault="00645241" w:rsidP="0064524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C50BFD6" w14:textId="6AB665DF" w:rsidR="00645241" w:rsidRPr="004F1EB0" w:rsidRDefault="00645241" w:rsidP="0064524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0DC5DF1" w14:textId="77777777" w:rsidR="00645241" w:rsidRPr="004F1EB0" w:rsidRDefault="00645241" w:rsidP="0064524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10CC14A" w14:textId="77777777" w:rsidR="00645241" w:rsidRPr="004F1EB0" w:rsidRDefault="00645241" w:rsidP="0064524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4F1EB0" w14:paraId="7A1CAC6D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CCA6614" w14:textId="77777777" w:rsidR="00F858F3" w:rsidRPr="004F1EB0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BBADFFD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B2FB4C4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036A476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B501403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4F1EB0" w14:paraId="4C31655B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90FBCD2" w14:textId="77777777" w:rsidR="00F858F3" w:rsidRPr="004F1EB0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BCB9B6F" w14:textId="77777777" w:rsidR="00F858F3" w:rsidRPr="007D4AD8" w:rsidRDefault="00F858F3" w:rsidP="004F1E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D16AE51" w14:textId="77777777" w:rsidR="00F858F3" w:rsidRPr="007D4AD8" w:rsidRDefault="00F858F3" w:rsidP="004F1E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A2A2DB9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F28D2F2" w14:textId="77777777" w:rsidR="00F858F3" w:rsidRPr="004F1EB0" w:rsidRDefault="00F858F3" w:rsidP="004F1E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4F1EB0" w14:paraId="119FF527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0A2CED" w14:textId="77777777" w:rsidR="00277B20" w:rsidRPr="00B1197D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1197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76A43E9" w14:textId="08547191" w:rsidR="00277B20" w:rsidRPr="00F212C0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73,16%</w:t>
            </w:r>
          </w:p>
        </w:tc>
        <w:tc>
          <w:tcPr>
            <w:tcW w:w="1737" w:type="dxa"/>
            <w:noWrap/>
            <w:vAlign w:val="bottom"/>
          </w:tcPr>
          <w:p w14:paraId="12BC03E2" w14:textId="2A9582CC" w:rsidR="00277B20" w:rsidRPr="00F212C0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67,64%</w:t>
            </w:r>
          </w:p>
        </w:tc>
        <w:tc>
          <w:tcPr>
            <w:tcW w:w="1736" w:type="dxa"/>
            <w:noWrap/>
          </w:tcPr>
          <w:p w14:paraId="51EDBE75" w14:textId="77777777" w:rsidR="00277B20" w:rsidRPr="004F1EB0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8B061AD" w14:textId="77777777" w:rsidR="00277B20" w:rsidRPr="004F1EB0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08CA1B3" w14:textId="77777777" w:rsidR="00C07DDA" w:rsidRPr="004F1EB0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4F1EB0" w14:paraId="055BAAEA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E242345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7B6A06B3" w14:textId="6D3E5FC0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D8FEBF4" w14:textId="5C399288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4F1EB0" w14:paraId="52DD0A9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8B87A1F" w14:textId="74C6F741" w:rsidR="00277B20" w:rsidRPr="004F1EB0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4831CA0F" w14:textId="1E8FF2F9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44,85%</w:t>
            </w:r>
          </w:p>
        </w:tc>
        <w:tc>
          <w:tcPr>
            <w:tcW w:w="2977" w:type="dxa"/>
            <w:vAlign w:val="bottom"/>
          </w:tcPr>
          <w:p w14:paraId="39217046" w14:textId="1368FA60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35,71%</w:t>
            </w:r>
          </w:p>
        </w:tc>
      </w:tr>
      <w:tr w:rsidR="00277B20" w:rsidRPr="004F1EB0" w14:paraId="5B790544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4EB2E0D" w14:textId="09D3BC25" w:rsidR="00277B20" w:rsidRPr="004F1EB0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4D52663D" w14:textId="3D59E607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62,16%</w:t>
            </w:r>
          </w:p>
        </w:tc>
        <w:tc>
          <w:tcPr>
            <w:tcW w:w="2977" w:type="dxa"/>
            <w:vAlign w:val="bottom"/>
          </w:tcPr>
          <w:p w14:paraId="6D2910DE" w14:textId="3CDA7A60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55,51%</w:t>
            </w:r>
          </w:p>
        </w:tc>
      </w:tr>
    </w:tbl>
    <w:p w14:paraId="4CCBDBD7" w14:textId="77777777" w:rsidR="00C07DDA" w:rsidRPr="004F1EB0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4F1EB0" w14:paraId="50635450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3BDB4A7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5FC83392" w14:textId="31CA627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E6F5E21" w14:textId="42D23FB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317AD5A8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Variazione</w:t>
            </w:r>
          </w:p>
        </w:tc>
      </w:tr>
      <w:tr w:rsidR="00277B20" w:rsidRPr="004F1EB0" w14:paraId="31FAABE0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DA66971" w14:textId="56D6D836" w:rsidR="00277B20" w:rsidRPr="004F1EB0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4427C880" w14:textId="62CC17E4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34.171.115.730</w:t>
            </w:r>
          </w:p>
        </w:tc>
        <w:tc>
          <w:tcPr>
            <w:tcW w:w="2460" w:type="dxa"/>
            <w:vAlign w:val="bottom"/>
          </w:tcPr>
          <w:p w14:paraId="4543B609" w14:textId="4ABD691C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37.215.813.116</w:t>
            </w:r>
          </w:p>
        </w:tc>
        <w:tc>
          <w:tcPr>
            <w:tcW w:w="2259" w:type="dxa"/>
            <w:vAlign w:val="bottom"/>
          </w:tcPr>
          <w:p w14:paraId="51AB4173" w14:textId="5F76247F" w:rsidR="00277B20" w:rsidRPr="007D4AD8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-8,18%</w:t>
            </w:r>
          </w:p>
        </w:tc>
      </w:tr>
      <w:tr w:rsidR="00277B20" w:rsidRPr="004F1EB0" w14:paraId="3D563D97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8A074B5" w14:textId="6FECB618" w:rsidR="00277B20" w:rsidRPr="004F1EB0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3EAA36C5" w14:textId="5263075C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2.022.851</w:t>
            </w:r>
          </w:p>
        </w:tc>
        <w:tc>
          <w:tcPr>
            <w:tcW w:w="2460" w:type="dxa"/>
            <w:vAlign w:val="bottom"/>
          </w:tcPr>
          <w:p w14:paraId="2303F684" w14:textId="3C1E2B7D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2.270.007</w:t>
            </w:r>
          </w:p>
        </w:tc>
        <w:tc>
          <w:tcPr>
            <w:tcW w:w="2259" w:type="dxa"/>
            <w:vAlign w:val="bottom"/>
          </w:tcPr>
          <w:p w14:paraId="6A14DC59" w14:textId="6C7736CB" w:rsidR="00277B20" w:rsidRPr="007D4AD8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-10,89%</w:t>
            </w:r>
          </w:p>
        </w:tc>
      </w:tr>
      <w:tr w:rsidR="00277B20" w:rsidRPr="004F1EB0" w14:paraId="56D4EA03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0859BFA" w14:textId="77777777" w:rsidR="00277B20" w:rsidRPr="004F1EB0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0BDA2A9" w14:textId="347E0887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16.893</w:t>
            </w:r>
          </w:p>
        </w:tc>
        <w:tc>
          <w:tcPr>
            <w:tcW w:w="2460" w:type="dxa"/>
            <w:vAlign w:val="bottom"/>
          </w:tcPr>
          <w:p w14:paraId="5615E2E4" w14:textId="6219E368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16.395</w:t>
            </w:r>
          </w:p>
        </w:tc>
        <w:tc>
          <w:tcPr>
            <w:tcW w:w="2259" w:type="dxa"/>
            <w:vAlign w:val="bottom"/>
          </w:tcPr>
          <w:p w14:paraId="20AE3932" w14:textId="77777777" w:rsidR="00277B20" w:rsidRPr="007D4AD8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224D6E" w14:textId="77777777" w:rsidR="00F858F3" w:rsidRPr="00B2004F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FUTURES SU INDICE </w:t>
      </w:r>
      <w:r w:rsidR="00BE3EDD">
        <w:rPr>
          <w:color w:val="4F81BD" w:themeColor="accent1"/>
        </w:rPr>
        <w:t xml:space="preserve">- </w:t>
      </w:r>
      <w:r w:rsidR="00DD014E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5C0154B8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BA2739" w14:paraId="32B34426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A1BF5EE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DB67231" w14:textId="3DDAB95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B47ADA0" w14:textId="46B0E62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7DC9536" w14:textId="5200896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203B6D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FE29677" w14:textId="038A513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BA2739" w14:paraId="53A8818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4A3575" w14:textId="2E78143B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13F18034" w14:textId="4FACD7E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9,93%</w:t>
            </w:r>
          </w:p>
        </w:tc>
        <w:tc>
          <w:tcPr>
            <w:tcW w:w="1737" w:type="dxa"/>
            <w:noWrap/>
            <w:vAlign w:val="bottom"/>
          </w:tcPr>
          <w:p w14:paraId="32D0154C" w14:textId="34E382CC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9,20%</w:t>
            </w:r>
          </w:p>
        </w:tc>
        <w:tc>
          <w:tcPr>
            <w:tcW w:w="1736" w:type="dxa"/>
            <w:noWrap/>
            <w:vAlign w:val="bottom"/>
          </w:tcPr>
          <w:p w14:paraId="73CDC63E" w14:textId="171DA9B3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7" w:type="dxa"/>
            <w:noWrap/>
            <w:vAlign w:val="bottom"/>
          </w:tcPr>
          <w:p w14:paraId="383B3D39" w14:textId="6803E67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BA2739" w14:paraId="357F7EA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7F1A3A" w14:textId="78ADEE32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11DDD4A" w14:textId="4397FB7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8,43%</w:t>
            </w:r>
          </w:p>
        </w:tc>
        <w:tc>
          <w:tcPr>
            <w:tcW w:w="1737" w:type="dxa"/>
            <w:noWrap/>
            <w:vAlign w:val="bottom"/>
          </w:tcPr>
          <w:p w14:paraId="51BF3EE5" w14:textId="38979FA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9,61%</w:t>
            </w:r>
          </w:p>
        </w:tc>
        <w:tc>
          <w:tcPr>
            <w:tcW w:w="1736" w:type="dxa"/>
            <w:noWrap/>
            <w:vAlign w:val="bottom"/>
          </w:tcPr>
          <w:p w14:paraId="30DCADF6" w14:textId="2BD5DC09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-1,18%</w:t>
            </w:r>
          </w:p>
        </w:tc>
        <w:tc>
          <w:tcPr>
            <w:tcW w:w="1737" w:type="dxa"/>
            <w:noWrap/>
            <w:vAlign w:val="bottom"/>
          </w:tcPr>
          <w:p w14:paraId="1D0A76E2" w14:textId="4667087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BA2739" w14:paraId="01BA6CE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2A1871" w14:textId="79BD2DE6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24F8901A" w14:textId="6996BAE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5,51%</w:t>
            </w:r>
          </w:p>
        </w:tc>
        <w:tc>
          <w:tcPr>
            <w:tcW w:w="1737" w:type="dxa"/>
            <w:noWrap/>
            <w:vAlign w:val="bottom"/>
          </w:tcPr>
          <w:p w14:paraId="6EBD0265" w14:textId="568C19FC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6,28%</w:t>
            </w:r>
          </w:p>
        </w:tc>
        <w:tc>
          <w:tcPr>
            <w:tcW w:w="1736" w:type="dxa"/>
            <w:noWrap/>
            <w:vAlign w:val="bottom"/>
          </w:tcPr>
          <w:p w14:paraId="6411CB6F" w14:textId="57CDC6FD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-0,76%</w:t>
            </w:r>
          </w:p>
        </w:tc>
        <w:tc>
          <w:tcPr>
            <w:tcW w:w="1737" w:type="dxa"/>
            <w:noWrap/>
            <w:vAlign w:val="bottom"/>
          </w:tcPr>
          <w:p w14:paraId="19B64D26" w14:textId="0C57CE13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BA2739" w14:paraId="545B49A5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F0489C" w14:textId="1F89738A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81E6417" w14:textId="7722374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4,57%</w:t>
            </w:r>
          </w:p>
        </w:tc>
        <w:tc>
          <w:tcPr>
            <w:tcW w:w="1737" w:type="dxa"/>
            <w:noWrap/>
            <w:vAlign w:val="bottom"/>
          </w:tcPr>
          <w:p w14:paraId="10F2818D" w14:textId="76B020FE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6,28%</w:t>
            </w:r>
          </w:p>
        </w:tc>
        <w:tc>
          <w:tcPr>
            <w:tcW w:w="1736" w:type="dxa"/>
            <w:noWrap/>
            <w:vAlign w:val="bottom"/>
          </w:tcPr>
          <w:p w14:paraId="4260C4BB" w14:textId="5DEEAE1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-1,72%</w:t>
            </w:r>
          </w:p>
        </w:tc>
        <w:tc>
          <w:tcPr>
            <w:tcW w:w="1737" w:type="dxa"/>
            <w:noWrap/>
            <w:vAlign w:val="bottom"/>
          </w:tcPr>
          <w:p w14:paraId="156810DA" w14:textId="28990E35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BA2739" w14:paraId="63308EA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251F99" w14:textId="12C2D20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43A1690" w14:textId="57006162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4,37%</w:t>
            </w:r>
          </w:p>
        </w:tc>
        <w:tc>
          <w:tcPr>
            <w:tcW w:w="1737" w:type="dxa"/>
            <w:noWrap/>
            <w:vAlign w:val="bottom"/>
          </w:tcPr>
          <w:p w14:paraId="63804DF4" w14:textId="44A4DCB2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3,23%</w:t>
            </w:r>
          </w:p>
        </w:tc>
        <w:tc>
          <w:tcPr>
            <w:tcW w:w="1736" w:type="dxa"/>
            <w:noWrap/>
            <w:vAlign w:val="bottom"/>
          </w:tcPr>
          <w:p w14:paraId="4C3B79F5" w14:textId="03B36851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1,14%</w:t>
            </w:r>
          </w:p>
        </w:tc>
        <w:tc>
          <w:tcPr>
            <w:tcW w:w="1737" w:type="dxa"/>
            <w:noWrap/>
            <w:vAlign w:val="bottom"/>
          </w:tcPr>
          <w:p w14:paraId="20C2908F" w14:textId="14B5A22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BA2739" w14:paraId="02F46822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DD41D5" w14:textId="17197008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B3365D1" w14:textId="45EBA48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3,63%</w:t>
            </w:r>
          </w:p>
        </w:tc>
        <w:tc>
          <w:tcPr>
            <w:tcW w:w="1737" w:type="dxa"/>
            <w:noWrap/>
            <w:vAlign w:val="bottom"/>
          </w:tcPr>
          <w:p w14:paraId="3DD5C9CF" w14:textId="7C1446D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4,07%</w:t>
            </w:r>
          </w:p>
        </w:tc>
        <w:tc>
          <w:tcPr>
            <w:tcW w:w="1736" w:type="dxa"/>
            <w:noWrap/>
            <w:vAlign w:val="bottom"/>
          </w:tcPr>
          <w:p w14:paraId="4DABDD98" w14:textId="30EE2728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-0,43%</w:t>
            </w:r>
          </w:p>
        </w:tc>
        <w:tc>
          <w:tcPr>
            <w:tcW w:w="1737" w:type="dxa"/>
            <w:noWrap/>
            <w:vAlign w:val="bottom"/>
          </w:tcPr>
          <w:p w14:paraId="5560F06D" w14:textId="3B60F1FD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BA2739" w14:paraId="009D043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4B8E5B" w14:textId="1130433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EA12721" w14:textId="038E5ED5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3,11%</w:t>
            </w:r>
          </w:p>
        </w:tc>
        <w:tc>
          <w:tcPr>
            <w:tcW w:w="1737" w:type="dxa"/>
            <w:noWrap/>
            <w:vAlign w:val="bottom"/>
          </w:tcPr>
          <w:p w14:paraId="37670750" w14:textId="07D8D56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1,98%</w:t>
            </w:r>
          </w:p>
        </w:tc>
        <w:tc>
          <w:tcPr>
            <w:tcW w:w="1736" w:type="dxa"/>
            <w:noWrap/>
            <w:vAlign w:val="bottom"/>
          </w:tcPr>
          <w:p w14:paraId="06905851" w14:textId="24801AA7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1,13%</w:t>
            </w:r>
          </w:p>
        </w:tc>
        <w:tc>
          <w:tcPr>
            <w:tcW w:w="1737" w:type="dxa"/>
            <w:noWrap/>
            <w:vAlign w:val="bottom"/>
          </w:tcPr>
          <w:p w14:paraId="6A98BD24" w14:textId="618B35A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BA2739" w14:paraId="6F95BF82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B88329" w14:textId="349668B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B8C7E0F" w14:textId="093B0F0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2,38%</w:t>
            </w:r>
          </w:p>
        </w:tc>
        <w:tc>
          <w:tcPr>
            <w:tcW w:w="1737" w:type="dxa"/>
            <w:noWrap/>
            <w:vAlign w:val="bottom"/>
          </w:tcPr>
          <w:p w14:paraId="77CCD356" w14:textId="39BCCA13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6" w:type="dxa"/>
            <w:noWrap/>
            <w:vAlign w:val="bottom"/>
          </w:tcPr>
          <w:p w14:paraId="07D47030" w14:textId="1AA113C5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7" w:type="dxa"/>
            <w:noWrap/>
            <w:vAlign w:val="bottom"/>
          </w:tcPr>
          <w:p w14:paraId="7BE08686" w14:textId="3080306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BA2739" w14:paraId="68891A54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E0CFBE" w14:textId="40CCBB7A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718E8D0E" w14:textId="094100A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1,98%</w:t>
            </w:r>
          </w:p>
        </w:tc>
        <w:tc>
          <w:tcPr>
            <w:tcW w:w="1737" w:type="dxa"/>
            <w:noWrap/>
            <w:vAlign w:val="bottom"/>
          </w:tcPr>
          <w:p w14:paraId="04C6348C" w14:textId="1DC3C005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2,75%</w:t>
            </w:r>
          </w:p>
        </w:tc>
        <w:tc>
          <w:tcPr>
            <w:tcW w:w="1736" w:type="dxa"/>
            <w:noWrap/>
            <w:vAlign w:val="bottom"/>
          </w:tcPr>
          <w:p w14:paraId="42DA860C" w14:textId="79AA4B1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-0,77%</w:t>
            </w:r>
          </w:p>
        </w:tc>
        <w:tc>
          <w:tcPr>
            <w:tcW w:w="1737" w:type="dxa"/>
            <w:noWrap/>
            <w:vAlign w:val="bottom"/>
          </w:tcPr>
          <w:p w14:paraId="5455541F" w14:textId="1510ACCC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BA2739" w14:paraId="04EEDFE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EC3E606" w14:textId="3BC1BAFE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C5C6864" w14:textId="122F748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1,60%</w:t>
            </w:r>
          </w:p>
        </w:tc>
        <w:tc>
          <w:tcPr>
            <w:tcW w:w="1737" w:type="dxa"/>
            <w:noWrap/>
            <w:vAlign w:val="bottom"/>
          </w:tcPr>
          <w:p w14:paraId="301DBA0B" w14:textId="4196E345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1,26%</w:t>
            </w:r>
          </w:p>
        </w:tc>
        <w:tc>
          <w:tcPr>
            <w:tcW w:w="1736" w:type="dxa"/>
            <w:noWrap/>
            <w:vAlign w:val="bottom"/>
          </w:tcPr>
          <w:p w14:paraId="7F76F941" w14:textId="5499A1A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12453AD6" w14:textId="24DCABB0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BA2739" w14:paraId="6B829EA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10C203" w14:textId="40B3551B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CEFDB29" w14:textId="3AD4C24D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0,79%</w:t>
            </w:r>
          </w:p>
        </w:tc>
        <w:tc>
          <w:tcPr>
            <w:tcW w:w="1737" w:type="dxa"/>
            <w:noWrap/>
            <w:vAlign w:val="bottom"/>
          </w:tcPr>
          <w:p w14:paraId="08B78738" w14:textId="0F2EE77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0,66%</w:t>
            </w:r>
          </w:p>
        </w:tc>
        <w:tc>
          <w:tcPr>
            <w:tcW w:w="1736" w:type="dxa"/>
            <w:noWrap/>
            <w:vAlign w:val="bottom"/>
          </w:tcPr>
          <w:p w14:paraId="03CB2239" w14:textId="1573158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22ECA4FF" w14:textId="7B0EA11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BA2739" w14:paraId="7C47AC1C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0C7815" w14:textId="7B467AD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32677F31" w14:textId="59E29C2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4787522B" w14:textId="658EA57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6" w:type="dxa"/>
            <w:noWrap/>
            <w:vAlign w:val="bottom"/>
          </w:tcPr>
          <w:p w14:paraId="2D680D85" w14:textId="2C6DCF3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0,46%</w:t>
            </w:r>
          </w:p>
        </w:tc>
        <w:tc>
          <w:tcPr>
            <w:tcW w:w="1737" w:type="dxa"/>
            <w:noWrap/>
            <w:vAlign w:val="bottom"/>
          </w:tcPr>
          <w:p w14:paraId="0BDB6F40" w14:textId="0BB46CA5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BA2739" w14:paraId="056C5BC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A2A169" w14:textId="23B8B7BB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E172112" w14:textId="006D46D9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685C86E7" w14:textId="7B43920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0,81%</w:t>
            </w:r>
          </w:p>
        </w:tc>
        <w:tc>
          <w:tcPr>
            <w:tcW w:w="1736" w:type="dxa"/>
            <w:noWrap/>
            <w:vAlign w:val="bottom"/>
          </w:tcPr>
          <w:p w14:paraId="40B0442E" w14:textId="6A44F96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-0,45%</w:t>
            </w:r>
          </w:p>
        </w:tc>
        <w:tc>
          <w:tcPr>
            <w:tcW w:w="1737" w:type="dxa"/>
            <w:noWrap/>
            <w:vAlign w:val="bottom"/>
          </w:tcPr>
          <w:p w14:paraId="453460A4" w14:textId="7321672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BA2739" w14:paraId="7E74A55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0ABAB7" w14:textId="637ED825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1BA9BFE5" w14:textId="1436FE40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5A337D9F" w14:textId="1CC4ABED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6" w:type="dxa"/>
            <w:noWrap/>
            <w:vAlign w:val="bottom"/>
          </w:tcPr>
          <w:p w14:paraId="046716E8" w14:textId="4004724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01E6631B" w14:textId="05A1A73A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BA2739" w14:paraId="0A72A01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F83D6C" w14:textId="259918D7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D592CFA" w14:textId="7D5AAF7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411F5D5E" w14:textId="1B0B683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6B4DC439" w14:textId="1FAAC28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16DC02F" w14:textId="74F6859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BA2739" w14:paraId="3765393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A757EF4" w14:textId="3070FBE8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8945199" w14:textId="797CB058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2D0B3732" w14:textId="3F862198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22514020" w14:textId="17C3A75A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2215BFA1" w14:textId="47F7E71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BA2739" w14:paraId="201F9B0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50AF86" w14:textId="0C69041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4F6A7887" w14:textId="33CEE30A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429EAC82" w14:textId="22E8B3B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5C4CCC6B" w14:textId="5442B54A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094B12DF" w14:textId="1E31BAD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BA2739" w14:paraId="257640E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8A2C5C" w14:textId="74DA881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0AD4ABB4" w14:textId="7EA422C9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1BCBC99F" w14:textId="79D7750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74029932" w14:textId="59B158B2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22BC1B76" w14:textId="03A485B3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BA2739" w14:paraId="200979F8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A5B3BE" w14:textId="59A9E01E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23ED4C3A" w14:textId="6507D2A9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61921C7E" w14:textId="78298F95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D5BFC4B" w14:textId="6D76406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0CEAA004" w14:textId="6C92E585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77B20" w:rsidRPr="00BA2739" w14:paraId="5D00B1E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98E1A2" w14:textId="5A7C219E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5214C2B7" w14:textId="67227F7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17ECF89" w14:textId="317FF21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8EC6134" w14:textId="1477F0C5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F5A0F11" w14:textId="585C6BD0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277B20" w:rsidRPr="00BA2739" w14:paraId="6B4BF93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B5C3A1" w14:textId="6CA0F7E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1E1EFA17" w14:textId="7652737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56D0EE9" w14:textId="54247877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3E1D037" w14:textId="162E5E2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8FDCA6F" w14:textId="0BDEA762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BA2739" w14:paraId="4576895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A4743E" w14:textId="77C80A54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2C0C5075" w14:textId="50412D6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F775B7D" w14:textId="6F77B00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0FDB316" w14:textId="5DA977DA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CC2364" w14:textId="4967C8BA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BA2739" w14:paraId="63E71A0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F7FE2E3" w14:textId="4ACB86AB" w:rsidR="00277B20" w:rsidRPr="00AF5054" w:rsidRDefault="00277B20" w:rsidP="00277B2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8300A37" w14:textId="47D42F7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6049B41" w14:textId="3B946AD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9C4B3B9" w14:textId="622D875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A2FB95F" w14:textId="4BDFC24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0E63" w:rsidRPr="00BA2739" w14:paraId="5D0E9E6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DF2277" w14:textId="4B7F552E" w:rsidR="00C50E63" w:rsidRPr="00AF5054" w:rsidRDefault="00C50E63" w:rsidP="00C50E6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239FC7C" w14:textId="29876D78" w:rsidR="00C50E63" w:rsidRPr="00AF5054" w:rsidRDefault="00C50E63" w:rsidP="00C5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597DEF0" w14:textId="4EE7B13E" w:rsidR="00C50E63" w:rsidRPr="00AF5054" w:rsidRDefault="00C50E63" w:rsidP="00C5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E507860" w14:textId="7417C4D9" w:rsidR="00C50E63" w:rsidRPr="00AF5054" w:rsidRDefault="00C50E63" w:rsidP="00C5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026D6E3" w14:textId="5AC9358A" w:rsidR="00C50E63" w:rsidRPr="00AF5054" w:rsidRDefault="00C50E63" w:rsidP="00C5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0E63" w:rsidRPr="00BA2739" w14:paraId="740AB02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DFAA64" w14:textId="77777777" w:rsidR="00C50E63" w:rsidRPr="00AF5054" w:rsidRDefault="00C50E63" w:rsidP="00C50E63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398710E" w14:textId="2E55A11D" w:rsidR="00C50E63" w:rsidRPr="00AF5054" w:rsidRDefault="00C50E63" w:rsidP="00C50E6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A35FECC" w14:textId="169D5F17" w:rsidR="00C50E63" w:rsidRPr="00AF5054" w:rsidRDefault="00C50E63" w:rsidP="00C50E6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47CDAB6" w14:textId="77777777" w:rsidR="00C50E63" w:rsidRPr="00AF5054" w:rsidRDefault="00C50E63" w:rsidP="00C50E6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4DF4299" w14:textId="77777777" w:rsidR="00C50E63" w:rsidRPr="00AF5054" w:rsidRDefault="00C50E63" w:rsidP="00C50E6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367F0845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915FBA6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B6403D2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6F35414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FED2D00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8E43983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734EB024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26D02F4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B1713D8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F613110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EA42CB8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B547D0F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6D6E5A46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CC8537C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C378002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8369CE7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22E0B09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B6A05D4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192FCBCC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D8A327B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9BF66AE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ED324C9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5370B5C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BBBA82E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546A33A0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9AA17EA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D645ECC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E959C70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C9F56EC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7D6543B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171098B0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94B52F3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9B9F53E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E021181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06674BB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598EEDE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BA2739" w14:paraId="15DE714F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2BE49D6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92395E6" w14:textId="5AA435D0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48,06%</w:t>
            </w:r>
          </w:p>
        </w:tc>
        <w:tc>
          <w:tcPr>
            <w:tcW w:w="1737" w:type="dxa"/>
            <w:noWrap/>
            <w:vAlign w:val="bottom"/>
          </w:tcPr>
          <w:p w14:paraId="353A5579" w14:textId="68B15B8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49,05%</w:t>
            </w:r>
          </w:p>
        </w:tc>
        <w:tc>
          <w:tcPr>
            <w:tcW w:w="1736" w:type="dxa"/>
            <w:noWrap/>
          </w:tcPr>
          <w:p w14:paraId="19EDD049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35C4561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1AD99BA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BA2739" w14:paraId="7C5C6FFB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BEF269F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30A9887D" w14:textId="1F97B1F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72E5FE5F" w14:textId="311C273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BA2739" w14:paraId="33531A72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140D890" w14:textId="6CBB3ADF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2FC0C0D7" w14:textId="1A141CED" w:rsidR="00277B20" w:rsidRPr="00835FC7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32,81%</w:t>
            </w:r>
          </w:p>
        </w:tc>
        <w:tc>
          <w:tcPr>
            <w:tcW w:w="2977" w:type="dxa"/>
            <w:vAlign w:val="bottom"/>
          </w:tcPr>
          <w:p w14:paraId="10B2B840" w14:textId="10A66A65" w:rsidR="00277B20" w:rsidRPr="00835FC7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35,44%</w:t>
            </w:r>
          </w:p>
        </w:tc>
      </w:tr>
      <w:tr w:rsidR="00277B20" w:rsidRPr="00BA2739" w14:paraId="41FF8850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62A6989" w14:textId="5FEFA09A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41F6DFE" w14:textId="5B4C644E" w:rsidR="00277B20" w:rsidRPr="00835FC7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45,52%</w:t>
            </w:r>
          </w:p>
        </w:tc>
        <w:tc>
          <w:tcPr>
            <w:tcW w:w="2977" w:type="dxa"/>
            <w:vAlign w:val="bottom"/>
          </w:tcPr>
          <w:p w14:paraId="74CB9AD3" w14:textId="1CB0E658" w:rsidR="00277B20" w:rsidRPr="00835FC7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46,44%</w:t>
            </w:r>
          </w:p>
        </w:tc>
      </w:tr>
    </w:tbl>
    <w:p w14:paraId="031D420D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BA2739" w14:paraId="40DACB5D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47BB029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821DAA7" w14:textId="53C5678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75CE2DA1" w14:textId="1C41B73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1B96816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Variazione</w:t>
            </w:r>
          </w:p>
        </w:tc>
      </w:tr>
      <w:tr w:rsidR="00277B20" w:rsidRPr="00BA2739" w14:paraId="473C847C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4B8918C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Contratti c/terzi</w:t>
            </w:r>
          </w:p>
        </w:tc>
        <w:tc>
          <w:tcPr>
            <w:tcW w:w="2192" w:type="dxa"/>
            <w:vAlign w:val="bottom"/>
          </w:tcPr>
          <w:p w14:paraId="57B45B69" w14:textId="565461B8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</w:rPr>
              <w:t>3.455.784</w:t>
            </w:r>
          </w:p>
        </w:tc>
        <w:tc>
          <w:tcPr>
            <w:tcW w:w="2460" w:type="dxa"/>
            <w:vAlign w:val="bottom"/>
          </w:tcPr>
          <w:p w14:paraId="3D23A3C9" w14:textId="7E35B9B7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3.079.901</w:t>
            </w:r>
          </w:p>
        </w:tc>
        <w:tc>
          <w:tcPr>
            <w:tcW w:w="2259" w:type="dxa"/>
            <w:vAlign w:val="bottom"/>
          </w:tcPr>
          <w:p w14:paraId="1B4F2B4A" w14:textId="6E229491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12,20%</w:t>
            </w:r>
          </w:p>
        </w:tc>
      </w:tr>
      <w:tr w:rsidR="00277B20" w:rsidRPr="00BA2739" w14:paraId="75121532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7B35146" w14:textId="1A693E22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Operazioni c/terzi </w:t>
            </w:r>
          </w:p>
        </w:tc>
        <w:tc>
          <w:tcPr>
            <w:tcW w:w="2192" w:type="dxa"/>
            <w:vAlign w:val="bottom"/>
          </w:tcPr>
          <w:p w14:paraId="3541EE87" w14:textId="3FAA7EE1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2.155.939</w:t>
            </w:r>
          </w:p>
        </w:tc>
        <w:tc>
          <w:tcPr>
            <w:tcW w:w="2460" w:type="dxa"/>
            <w:vAlign w:val="bottom"/>
          </w:tcPr>
          <w:p w14:paraId="3D6893E0" w14:textId="0AD24F7D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1.879.637</w:t>
            </w:r>
          </w:p>
        </w:tc>
        <w:tc>
          <w:tcPr>
            <w:tcW w:w="2259" w:type="dxa"/>
            <w:vAlign w:val="bottom"/>
          </w:tcPr>
          <w:p w14:paraId="6FFDC240" w14:textId="41402868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14,70%</w:t>
            </w:r>
          </w:p>
        </w:tc>
      </w:tr>
      <w:tr w:rsidR="00277B20" w:rsidRPr="00BA2739" w14:paraId="02A5864B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1C41A6C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6B36736E" w14:textId="555AE7E2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1,60</w:t>
            </w:r>
          </w:p>
        </w:tc>
        <w:tc>
          <w:tcPr>
            <w:tcW w:w="2460" w:type="dxa"/>
            <w:vAlign w:val="bottom"/>
          </w:tcPr>
          <w:p w14:paraId="22F726C4" w14:textId="1B7EBB98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1,64</w:t>
            </w:r>
          </w:p>
        </w:tc>
        <w:tc>
          <w:tcPr>
            <w:tcW w:w="2259" w:type="dxa"/>
            <w:vAlign w:val="bottom"/>
          </w:tcPr>
          <w:p w14:paraId="7E9704F1" w14:textId="77777777" w:rsidR="00277B20" w:rsidRPr="00AF5054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31D9EB9" w14:textId="77777777" w:rsidR="00F858F3" w:rsidRPr="00B2004F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MINI FUTURES SU INDICE </w:t>
      </w:r>
      <w:r w:rsidR="00BE3EDD">
        <w:rPr>
          <w:color w:val="4F81BD" w:themeColor="accent1"/>
        </w:rPr>
        <w:t xml:space="preserve">- </w:t>
      </w:r>
      <w:r w:rsidR="00DD014E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425EF0E2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BA2739" w14:paraId="3285CA5A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F4BD821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2BAF5583" w14:textId="0749EBA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0704F2C" w14:textId="430DECC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6F99F085" w14:textId="39A1B6B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BDD3B7E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F7B9166" w14:textId="413FF89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BA2739" w14:paraId="1A578DD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B09F6F" w14:textId="7F72DE86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7FE13CC3" w14:textId="74CFC04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44,60%</w:t>
            </w:r>
          </w:p>
        </w:tc>
        <w:tc>
          <w:tcPr>
            <w:tcW w:w="1737" w:type="dxa"/>
            <w:noWrap/>
            <w:vAlign w:val="bottom"/>
          </w:tcPr>
          <w:p w14:paraId="7EE50411" w14:textId="61103889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47,46%</w:t>
            </w:r>
          </w:p>
        </w:tc>
        <w:tc>
          <w:tcPr>
            <w:tcW w:w="1736" w:type="dxa"/>
            <w:noWrap/>
            <w:vAlign w:val="bottom"/>
          </w:tcPr>
          <w:p w14:paraId="32D9EA80" w14:textId="4655CA6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-2,85%</w:t>
            </w:r>
          </w:p>
        </w:tc>
        <w:tc>
          <w:tcPr>
            <w:tcW w:w="1737" w:type="dxa"/>
            <w:noWrap/>
            <w:vAlign w:val="bottom"/>
          </w:tcPr>
          <w:p w14:paraId="6D0600BF" w14:textId="64424A5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BA2739" w14:paraId="4C15EF33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E8F454" w14:textId="5E2C1BDD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22F20D17" w14:textId="5D35E91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10,42%</w:t>
            </w:r>
          </w:p>
        </w:tc>
        <w:tc>
          <w:tcPr>
            <w:tcW w:w="1737" w:type="dxa"/>
            <w:noWrap/>
            <w:vAlign w:val="bottom"/>
          </w:tcPr>
          <w:p w14:paraId="3AECE547" w14:textId="783B0DB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8,95%</w:t>
            </w:r>
          </w:p>
        </w:tc>
        <w:tc>
          <w:tcPr>
            <w:tcW w:w="1736" w:type="dxa"/>
            <w:noWrap/>
            <w:vAlign w:val="bottom"/>
          </w:tcPr>
          <w:p w14:paraId="2D2497EE" w14:textId="0C89E579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1,47%</w:t>
            </w:r>
          </w:p>
        </w:tc>
        <w:tc>
          <w:tcPr>
            <w:tcW w:w="1737" w:type="dxa"/>
            <w:noWrap/>
            <w:vAlign w:val="bottom"/>
          </w:tcPr>
          <w:p w14:paraId="6FE555B5" w14:textId="21350B3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BA2739" w14:paraId="3CB51AA6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86477B" w14:textId="0AFC99B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A70E5E4" w14:textId="17A2060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9,08%</w:t>
            </w:r>
          </w:p>
        </w:tc>
        <w:tc>
          <w:tcPr>
            <w:tcW w:w="1737" w:type="dxa"/>
            <w:noWrap/>
            <w:vAlign w:val="bottom"/>
          </w:tcPr>
          <w:p w14:paraId="18303C1D" w14:textId="3DCE20B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7,80%</w:t>
            </w:r>
          </w:p>
        </w:tc>
        <w:tc>
          <w:tcPr>
            <w:tcW w:w="1736" w:type="dxa"/>
            <w:noWrap/>
            <w:vAlign w:val="bottom"/>
          </w:tcPr>
          <w:p w14:paraId="0D7EF323" w14:textId="27CB0FF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1,28%</w:t>
            </w:r>
          </w:p>
        </w:tc>
        <w:tc>
          <w:tcPr>
            <w:tcW w:w="1737" w:type="dxa"/>
            <w:noWrap/>
            <w:vAlign w:val="bottom"/>
          </w:tcPr>
          <w:p w14:paraId="5A424DF2" w14:textId="342F27C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BA2739" w14:paraId="5A7DF8FF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CC3510" w14:textId="1015E2F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71C69B9" w14:textId="32B1309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6,75%</w:t>
            </w:r>
          </w:p>
        </w:tc>
        <w:tc>
          <w:tcPr>
            <w:tcW w:w="1737" w:type="dxa"/>
            <w:noWrap/>
            <w:vAlign w:val="bottom"/>
          </w:tcPr>
          <w:p w14:paraId="7810BFE9" w14:textId="52A1EB4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7,18%</w:t>
            </w:r>
          </w:p>
        </w:tc>
        <w:tc>
          <w:tcPr>
            <w:tcW w:w="1736" w:type="dxa"/>
            <w:noWrap/>
            <w:vAlign w:val="bottom"/>
          </w:tcPr>
          <w:p w14:paraId="359F4874" w14:textId="28CC7F4E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-0,43%</w:t>
            </w:r>
          </w:p>
        </w:tc>
        <w:tc>
          <w:tcPr>
            <w:tcW w:w="1737" w:type="dxa"/>
            <w:noWrap/>
            <w:vAlign w:val="bottom"/>
          </w:tcPr>
          <w:p w14:paraId="3AAB58E4" w14:textId="483C8BC2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BA2739" w14:paraId="5949DD60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C62422" w14:textId="55CA62B3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564E97F" w14:textId="503942F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6,04%</w:t>
            </w:r>
          </w:p>
        </w:tc>
        <w:tc>
          <w:tcPr>
            <w:tcW w:w="1737" w:type="dxa"/>
            <w:noWrap/>
            <w:vAlign w:val="bottom"/>
          </w:tcPr>
          <w:p w14:paraId="2B5E6902" w14:textId="3FCB0B0C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6,21%</w:t>
            </w:r>
          </w:p>
        </w:tc>
        <w:tc>
          <w:tcPr>
            <w:tcW w:w="1736" w:type="dxa"/>
            <w:noWrap/>
            <w:vAlign w:val="bottom"/>
          </w:tcPr>
          <w:p w14:paraId="5FEF2A39" w14:textId="6B7394DD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7533A4E5" w14:textId="4C22C36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BA2739" w14:paraId="56E049D4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BE9335" w14:textId="6CAEBCC0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721F7E1" w14:textId="068C016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1,39%</w:t>
            </w:r>
          </w:p>
        </w:tc>
        <w:tc>
          <w:tcPr>
            <w:tcW w:w="1737" w:type="dxa"/>
            <w:noWrap/>
            <w:vAlign w:val="bottom"/>
          </w:tcPr>
          <w:p w14:paraId="3D2F18E1" w14:textId="441E4C0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3,40%</w:t>
            </w:r>
          </w:p>
        </w:tc>
        <w:tc>
          <w:tcPr>
            <w:tcW w:w="1736" w:type="dxa"/>
            <w:noWrap/>
            <w:vAlign w:val="bottom"/>
          </w:tcPr>
          <w:p w14:paraId="52DA4BAA" w14:textId="59581F5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-2,00%</w:t>
            </w:r>
          </w:p>
        </w:tc>
        <w:tc>
          <w:tcPr>
            <w:tcW w:w="1737" w:type="dxa"/>
            <w:noWrap/>
            <w:vAlign w:val="bottom"/>
          </w:tcPr>
          <w:p w14:paraId="1B95A4CF" w14:textId="24B7CC5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BA2739" w14:paraId="561FDF8C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7D1F6E" w14:textId="3A26D6C2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C2BC1DC" w14:textId="7F09B04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1,25%</w:t>
            </w:r>
          </w:p>
        </w:tc>
        <w:tc>
          <w:tcPr>
            <w:tcW w:w="1737" w:type="dxa"/>
            <w:noWrap/>
            <w:vAlign w:val="bottom"/>
          </w:tcPr>
          <w:p w14:paraId="15B8FB5A" w14:textId="31BDACC1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6" w:type="dxa"/>
            <w:noWrap/>
            <w:vAlign w:val="bottom"/>
          </w:tcPr>
          <w:p w14:paraId="748F6AC8" w14:textId="54992AE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3D00789C" w14:textId="130EA72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BA2739" w14:paraId="5A22A1EA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CFE6C3" w14:textId="342F132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05D485B5" w14:textId="0CFDA6E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7" w:type="dxa"/>
            <w:noWrap/>
            <w:vAlign w:val="bottom"/>
          </w:tcPr>
          <w:p w14:paraId="451A3371" w14:textId="79F9353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6" w:type="dxa"/>
            <w:noWrap/>
            <w:vAlign w:val="bottom"/>
          </w:tcPr>
          <w:p w14:paraId="193442DB" w14:textId="687CB4B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04F58602" w14:textId="132D89A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BA2739" w14:paraId="41C58232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AA67C5" w14:textId="550695D9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D5BE1A3" w14:textId="78AF78ED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18EBE171" w14:textId="7EBF06C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6" w:type="dxa"/>
            <w:noWrap/>
            <w:vAlign w:val="bottom"/>
          </w:tcPr>
          <w:p w14:paraId="2C345A82" w14:textId="01748CC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F80F861" w14:textId="6F48E7C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BA2739" w14:paraId="2B0021B0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2093CD" w14:textId="5AF0E6C8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69D2FEEE" w14:textId="66D26716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5E8ADA09" w14:textId="30C9AE6E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6" w:type="dxa"/>
            <w:noWrap/>
            <w:vAlign w:val="bottom"/>
          </w:tcPr>
          <w:p w14:paraId="0FDB627D" w14:textId="443579F8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7" w:type="dxa"/>
            <w:noWrap/>
            <w:vAlign w:val="bottom"/>
          </w:tcPr>
          <w:p w14:paraId="6E5E195E" w14:textId="5294E7E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BA2739" w14:paraId="4B2A15EC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191E33" w14:textId="359237DB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41A86C62" w14:textId="45758E5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0,39%</w:t>
            </w:r>
          </w:p>
        </w:tc>
        <w:tc>
          <w:tcPr>
            <w:tcW w:w="1737" w:type="dxa"/>
            <w:noWrap/>
            <w:vAlign w:val="bottom"/>
          </w:tcPr>
          <w:p w14:paraId="7552CDFB" w14:textId="49E2B23D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04B502FC" w14:textId="18DCBA0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2F402722" w14:textId="66DA9A81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BA2739" w14:paraId="4E3FE30C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97DF05" w14:textId="6B662485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655385F3" w14:textId="4894047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7" w:type="dxa"/>
            <w:noWrap/>
            <w:vAlign w:val="bottom"/>
          </w:tcPr>
          <w:p w14:paraId="5046B1E3" w14:textId="717C36B3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0,87%</w:t>
            </w:r>
          </w:p>
        </w:tc>
        <w:tc>
          <w:tcPr>
            <w:tcW w:w="1736" w:type="dxa"/>
            <w:noWrap/>
            <w:vAlign w:val="bottom"/>
          </w:tcPr>
          <w:p w14:paraId="43233FE9" w14:textId="454B595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-0,55%</w:t>
            </w:r>
          </w:p>
        </w:tc>
        <w:tc>
          <w:tcPr>
            <w:tcW w:w="1737" w:type="dxa"/>
            <w:noWrap/>
            <w:vAlign w:val="bottom"/>
          </w:tcPr>
          <w:p w14:paraId="3A579D72" w14:textId="76AEBF5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BA2739" w14:paraId="7F9BAAE1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F62BE3" w14:textId="28F01014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5FE65DB" w14:textId="1CA59939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5B96337C" w14:textId="17F3DDE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2C420D57" w14:textId="01949142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7D068EA7" w14:textId="3B95362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BA2739" w14:paraId="44EE23F5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F770A7" w14:textId="664AE083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CA97455" w14:textId="6193FA4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BE0CD86" w14:textId="04F6275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6" w:type="dxa"/>
            <w:noWrap/>
            <w:vAlign w:val="bottom"/>
          </w:tcPr>
          <w:p w14:paraId="2A39760E" w14:textId="7250773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7972D1F9" w14:textId="13F9884B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BA2739" w14:paraId="4BC8892D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E65A6C" w14:textId="66EE5187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627DB11" w14:textId="5FBA8F4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220C0281" w14:textId="131815A1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41C8D4D9" w14:textId="1E026BC0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09A5555" w14:textId="5DEC694F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BA2739" w14:paraId="4C271D34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436161" w14:textId="5190DD4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EFBC4DF" w14:textId="3D84F37C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BBC5170" w14:textId="307DB2F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428D18E5" w14:textId="61477C2E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A00CF8D" w14:textId="0E73D15F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BA2739" w14:paraId="7226A50D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982A96" w14:textId="0C33E921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FA67609" w14:textId="3E8352A2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00B244A" w14:textId="4F05DACE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67C0FBD" w14:textId="2EA7F564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0748BDE" w14:textId="7C7DCE06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BA2739" w14:paraId="11DC7435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96E905" w14:textId="0155AE13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6B76440C" w14:textId="4F03C5F9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31D7B65" w14:textId="5ECECEB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D138F10" w14:textId="3EDCAE40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42640339" w14:textId="3315A571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BA2739" w14:paraId="308749C8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62C834" w14:textId="6078B1DF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5A76082" w14:textId="114C9F57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12E5177" w14:textId="43899297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8F80DD5" w14:textId="0FC9775C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F3788C9" w14:textId="3EF4C95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BA2739" w14:paraId="75130E27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26516D" w14:textId="4FDD8618" w:rsidR="00277B20" w:rsidRPr="00AF5054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460E9F49" w14:textId="006E1EFD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A018172" w14:textId="1BA78257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66CFC8A8" w14:textId="0440007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4C51B17E" w14:textId="265E0DA3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BA2739" w14:paraId="3E8B4B36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12F722" w14:textId="013DFDD9" w:rsidR="00277B20" w:rsidRPr="00BA2739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2D9FD50E" w14:textId="42401E93" w:rsidR="00277B20" w:rsidRPr="00BA2739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7BD3DBE" w14:textId="30E1BA18" w:rsidR="00277B20" w:rsidRPr="00BA2739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61F6A30C" w14:textId="5EACF964" w:rsidR="00277B20" w:rsidRPr="00BA2739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DD9FB52" w14:textId="2CE866E4" w:rsidR="00277B20" w:rsidRPr="00BA2739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277B20" w:rsidRPr="00BA2739" w14:paraId="5FD1B7BA" w14:textId="77777777" w:rsidTr="00277B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D128F8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31D571B" w14:textId="6885DB62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7A39CAC" w14:textId="7C190FF3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ABE4D38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1A55C46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5054" w:rsidRPr="00BA2739" w14:paraId="5A549232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B8253A8" w14:textId="77777777" w:rsidR="00AF5054" w:rsidRPr="00BA2739" w:rsidRDefault="00AF5054" w:rsidP="00AF505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1D01BE4" w14:textId="3203C717" w:rsidR="00AF5054" w:rsidRPr="00BA2739" w:rsidRDefault="00AF5054" w:rsidP="00AF505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7CAB4B9" w14:textId="1FE51282" w:rsidR="00AF5054" w:rsidRPr="00BA2739" w:rsidRDefault="00AF5054" w:rsidP="00AF505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683EE34" w14:textId="77777777" w:rsidR="00AF5054" w:rsidRPr="00BA2739" w:rsidRDefault="00AF5054" w:rsidP="00AF505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E56284B" w14:textId="77777777" w:rsidR="00AF5054" w:rsidRPr="00BA2739" w:rsidRDefault="00AF5054" w:rsidP="00AF505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3F21A71B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97976E8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3D38DF4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5F9A43B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51E360F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30CDA5B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594ACC83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9148CAE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65A8D4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B0AC10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69B2418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8C499BD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55C24473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594AA2A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350C84D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D2110E8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892737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56383C1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68DD5374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8C8D89B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C2A6A34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2393A1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875445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5CA9C5D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38321E4F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DD787C6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080695C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956AB43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CF5161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15C2CDE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42563612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5C1987C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F03BA72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D146261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20F2191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9879B1B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2A9CBA7A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0653386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5764D22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679E6B2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D941E9E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6677913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5F8E3774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9AA955D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030EFB9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0694500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1890512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0942CF9" w14:textId="77777777" w:rsidR="00F858F3" w:rsidRPr="00BA2739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BA2739" w14:paraId="18E981BE" w14:textId="77777777" w:rsidTr="00B1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DF245AA" w14:textId="66984CFC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2677383" w14:textId="3C3D48C7" w:rsidR="00277B20" w:rsidRPr="00120199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82,00%</w:t>
            </w:r>
          </w:p>
        </w:tc>
        <w:tc>
          <w:tcPr>
            <w:tcW w:w="1737" w:type="dxa"/>
            <w:noWrap/>
            <w:vAlign w:val="bottom"/>
          </w:tcPr>
          <w:p w14:paraId="55C719AB" w14:textId="161DD137" w:rsidR="00277B20" w:rsidRPr="00120199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84,83%</w:t>
            </w:r>
          </w:p>
        </w:tc>
        <w:tc>
          <w:tcPr>
            <w:tcW w:w="1736" w:type="dxa"/>
            <w:noWrap/>
          </w:tcPr>
          <w:p w14:paraId="52308DFD" w14:textId="1D874C00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BC3FDBA" w14:textId="5004E37F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1232034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BA2739" w14:paraId="3F207901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B973DFC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0431D740" w14:textId="646A889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71B588B" w14:textId="5763C07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BA2739" w14:paraId="288BBAAB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BCEF128" w14:textId="5C7C47FB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2D06648C" w14:textId="38D80AC8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76,88%</w:t>
            </w:r>
          </w:p>
        </w:tc>
        <w:tc>
          <w:tcPr>
            <w:tcW w:w="2977" w:type="dxa"/>
            <w:vAlign w:val="bottom"/>
          </w:tcPr>
          <w:p w14:paraId="694C209B" w14:textId="53225D6B" w:rsidR="00277B20" w:rsidRPr="00AF5054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77,59%</w:t>
            </w:r>
          </w:p>
        </w:tc>
      </w:tr>
      <w:tr w:rsidR="00277B20" w:rsidRPr="00BA2739" w14:paraId="5846DCE6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384FC3A" w14:textId="4ABACB58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6FCD0932" w14:textId="6866A5A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81,04%</w:t>
            </w:r>
          </w:p>
        </w:tc>
        <w:tc>
          <w:tcPr>
            <w:tcW w:w="2977" w:type="dxa"/>
            <w:vAlign w:val="bottom"/>
          </w:tcPr>
          <w:p w14:paraId="27E6B1FC" w14:textId="44ED6144" w:rsidR="00277B20" w:rsidRPr="00AF5054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83,84%</w:t>
            </w:r>
          </w:p>
        </w:tc>
      </w:tr>
    </w:tbl>
    <w:p w14:paraId="319540EB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BA2739" w14:paraId="080B1FFC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5E83749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789DC308" w14:textId="66B603A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5750101A" w14:textId="3AD9E61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35869B93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Variazione</w:t>
            </w:r>
          </w:p>
        </w:tc>
      </w:tr>
      <w:tr w:rsidR="00277B20" w:rsidRPr="00BA2739" w14:paraId="309A6FB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DD6C843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Contratti c/terzi</w:t>
            </w:r>
          </w:p>
        </w:tc>
        <w:tc>
          <w:tcPr>
            <w:tcW w:w="2192" w:type="dxa"/>
            <w:vAlign w:val="bottom"/>
          </w:tcPr>
          <w:p w14:paraId="23CD7148" w14:textId="5D140E8A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1.132.411</w:t>
            </w:r>
          </w:p>
        </w:tc>
        <w:tc>
          <w:tcPr>
            <w:tcW w:w="2460" w:type="dxa"/>
            <w:vAlign w:val="bottom"/>
          </w:tcPr>
          <w:p w14:paraId="1B7FA0D0" w14:textId="657EBBF1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1.025.037</w:t>
            </w:r>
          </w:p>
        </w:tc>
        <w:tc>
          <w:tcPr>
            <w:tcW w:w="2259" w:type="dxa"/>
            <w:vAlign w:val="bottom"/>
          </w:tcPr>
          <w:p w14:paraId="0A49143F" w14:textId="49FCF76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10,48%</w:t>
            </w:r>
          </w:p>
        </w:tc>
      </w:tr>
      <w:tr w:rsidR="00277B20" w:rsidRPr="00BA2739" w14:paraId="044E7BF0" w14:textId="77777777" w:rsidTr="00B1197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FBC3CC9" w14:textId="484631D6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6374B02D" w14:textId="08ABDEA6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984.951</w:t>
            </w:r>
          </w:p>
        </w:tc>
        <w:tc>
          <w:tcPr>
            <w:tcW w:w="2460" w:type="dxa"/>
            <w:vAlign w:val="bottom"/>
          </w:tcPr>
          <w:p w14:paraId="0E97A14A" w14:textId="44892A92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869.221</w:t>
            </w:r>
          </w:p>
        </w:tc>
        <w:tc>
          <w:tcPr>
            <w:tcW w:w="2259" w:type="dxa"/>
            <w:vAlign w:val="bottom"/>
          </w:tcPr>
          <w:p w14:paraId="6A135FC8" w14:textId="5D32F994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13,31%</w:t>
            </w:r>
          </w:p>
        </w:tc>
      </w:tr>
      <w:tr w:rsidR="00277B20" w:rsidRPr="00BA2739" w14:paraId="50E87295" w14:textId="77777777" w:rsidTr="00B1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1F55877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4C4FA280" w14:textId="079D9B1B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2460" w:type="dxa"/>
            <w:vAlign w:val="bottom"/>
          </w:tcPr>
          <w:p w14:paraId="2619D71A" w14:textId="44540358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1,18</w:t>
            </w:r>
          </w:p>
        </w:tc>
        <w:tc>
          <w:tcPr>
            <w:tcW w:w="2259" w:type="dxa"/>
            <w:vAlign w:val="bottom"/>
          </w:tcPr>
          <w:p w14:paraId="485DC8AD" w14:textId="77777777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080A0E3" w14:textId="77777777" w:rsidR="00F858F3" w:rsidRPr="00B2004F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OPZIONI SU INDICE </w:t>
      </w:r>
      <w:r w:rsidR="00BE3EDD">
        <w:rPr>
          <w:color w:val="4F81BD" w:themeColor="accent1"/>
        </w:rPr>
        <w:t xml:space="preserve">- </w:t>
      </w:r>
      <w:r w:rsidR="00DD014E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61A8E760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BA2739" w14:paraId="34A86605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7C12F96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94B470A" w14:textId="43225A6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7F1114B" w14:textId="5C87683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163128BD" w14:textId="46A38C2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3CD529D6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1CC460F" w14:textId="58B2C73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BA2739" w14:paraId="07A91A0C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B5EACFA" w14:textId="2FEB26F7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A1EC086" w14:textId="6B42974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13,81%</w:t>
            </w:r>
          </w:p>
        </w:tc>
        <w:tc>
          <w:tcPr>
            <w:tcW w:w="1737" w:type="dxa"/>
            <w:noWrap/>
            <w:vAlign w:val="bottom"/>
          </w:tcPr>
          <w:p w14:paraId="48CC9604" w14:textId="74B1D4C1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5,58%</w:t>
            </w:r>
          </w:p>
        </w:tc>
        <w:tc>
          <w:tcPr>
            <w:tcW w:w="1736" w:type="dxa"/>
            <w:noWrap/>
            <w:vAlign w:val="bottom"/>
          </w:tcPr>
          <w:p w14:paraId="6BA40047" w14:textId="653BF43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8,23%</w:t>
            </w:r>
          </w:p>
        </w:tc>
        <w:tc>
          <w:tcPr>
            <w:tcW w:w="1737" w:type="dxa"/>
            <w:noWrap/>
            <w:vAlign w:val="bottom"/>
          </w:tcPr>
          <w:p w14:paraId="0DAB820E" w14:textId="48149E7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BA2739" w14:paraId="6DD924AB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58F25B" w14:textId="5A0F6BA8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8568F82" w14:textId="1CA1E99F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13,29%</w:t>
            </w:r>
          </w:p>
        </w:tc>
        <w:tc>
          <w:tcPr>
            <w:tcW w:w="1737" w:type="dxa"/>
            <w:noWrap/>
            <w:vAlign w:val="bottom"/>
          </w:tcPr>
          <w:p w14:paraId="0BCC5136" w14:textId="0A8C2739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10,80%</w:t>
            </w:r>
          </w:p>
        </w:tc>
        <w:tc>
          <w:tcPr>
            <w:tcW w:w="1736" w:type="dxa"/>
            <w:noWrap/>
            <w:vAlign w:val="bottom"/>
          </w:tcPr>
          <w:p w14:paraId="38543612" w14:textId="3DC95A7F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2,49%</w:t>
            </w:r>
          </w:p>
        </w:tc>
        <w:tc>
          <w:tcPr>
            <w:tcW w:w="1737" w:type="dxa"/>
            <w:noWrap/>
            <w:vAlign w:val="bottom"/>
          </w:tcPr>
          <w:p w14:paraId="11AB25E3" w14:textId="70A19B17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BA2739" w14:paraId="4785C63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609E98" w14:textId="02C7C336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BB10B68" w14:textId="449899DA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6,61%</w:t>
            </w:r>
          </w:p>
        </w:tc>
        <w:tc>
          <w:tcPr>
            <w:tcW w:w="1737" w:type="dxa"/>
            <w:noWrap/>
            <w:vAlign w:val="bottom"/>
          </w:tcPr>
          <w:p w14:paraId="720F549E" w14:textId="2D53129F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7,92%</w:t>
            </w:r>
          </w:p>
        </w:tc>
        <w:tc>
          <w:tcPr>
            <w:tcW w:w="1736" w:type="dxa"/>
            <w:noWrap/>
            <w:vAlign w:val="bottom"/>
          </w:tcPr>
          <w:p w14:paraId="512E284F" w14:textId="66FE20BF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-1,31%</w:t>
            </w:r>
          </w:p>
        </w:tc>
        <w:tc>
          <w:tcPr>
            <w:tcW w:w="1737" w:type="dxa"/>
            <w:noWrap/>
            <w:vAlign w:val="bottom"/>
          </w:tcPr>
          <w:p w14:paraId="72CD42BA" w14:textId="3E3B2810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BA2739" w14:paraId="6FF16A7C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121481" w14:textId="7E7CBE22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3AA9819D" w14:textId="129713C4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5,18%</w:t>
            </w:r>
          </w:p>
        </w:tc>
        <w:tc>
          <w:tcPr>
            <w:tcW w:w="1737" w:type="dxa"/>
            <w:noWrap/>
            <w:vAlign w:val="bottom"/>
          </w:tcPr>
          <w:p w14:paraId="13DE3B7B" w14:textId="48DE11F5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4,87%</w:t>
            </w:r>
          </w:p>
        </w:tc>
        <w:tc>
          <w:tcPr>
            <w:tcW w:w="1736" w:type="dxa"/>
            <w:noWrap/>
            <w:vAlign w:val="bottom"/>
          </w:tcPr>
          <w:p w14:paraId="4F9C902F" w14:textId="0A63AFF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4454453F" w14:textId="2D631111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BA2739" w14:paraId="5229B32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8F06C4" w14:textId="4C928DB2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9036072" w14:textId="2D52BB4F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4,24%</w:t>
            </w:r>
          </w:p>
        </w:tc>
        <w:tc>
          <w:tcPr>
            <w:tcW w:w="1737" w:type="dxa"/>
            <w:noWrap/>
            <w:vAlign w:val="bottom"/>
          </w:tcPr>
          <w:p w14:paraId="7197EE0C" w14:textId="59E890C7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4,55%</w:t>
            </w:r>
          </w:p>
        </w:tc>
        <w:tc>
          <w:tcPr>
            <w:tcW w:w="1736" w:type="dxa"/>
            <w:noWrap/>
            <w:vAlign w:val="bottom"/>
          </w:tcPr>
          <w:p w14:paraId="6C942D21" w14:textId="4A06FC48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-0,31%</w:t>
            </w:r>
          </w:p>
        </w:tc>
        <w:tc>
          <w:tcPr>
            <w:tcW w:w="1737" w:type="dxa"/>
            <w:noWrap/>
            <w:vAlign w:val="bottom"/>
          </w:tcPr>
          <w:p w14:paraId="0B94450D" w14:textId="090935C5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BA2739" w14:paraId="71DDD3E2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4CAB82F" w14:textId="4160715A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1008B4D3" w14:textId="2BE958A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4,13%</w:t>
            </w:r>
          </w:p>
        </w:tc>
        <w:tc>
          <w:tcPr>
            <w:tcW w:w="1737" w:type="dxa"/>
            <w:noWrap/>
            <w:vAlign w:val="bottom"/>
          </w:tcPr>
          <w:p w14:paraId="390DBCA6" w14:textId="31FB8332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4,62%</w:t>
            </w:r>
          </w:p>
        </w:tc>
        <w:tc>
          <w:tcPr>
            <w:tcW w:w="1736" w:type="dxa"/>
            <w:noWrap/>
            <w:vAlign w:val="bottom"/>
          </w:tcPr>
          <w:p w14:paraId="5F0AF668" w14:textId="18E4DE4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-0,49%</w:t>
            </w:r>
          </w:p>
        </w:tc>
        <w:tc>
          <w:tcPr>
            <w:tcW w:w="1737" w:type="dxa"/>
            <w:noWrap/>
            <w:vAlign w:val="bottom"/>
          </w:tcPr>
          <w:p w14:paraId="429BE646" w14:textId="1F30C7E1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BA2739" w14:paraId="301306E4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1677BD" w14:textId="2D70B40B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06FC8A92" w14:textId="57B7D167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7" w:type="dxa"/>
            <w:noWrap/>
            <w:vAlign w:val="bottom"/>
          </w:tcPr>
          <w:p w14:paraId="215CAEA6" w14:textId="41E93A3A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1,36%</w:t>
            </w:r>
          </w:p>
        </w:tc>
        <w:tc>
          <w:tcPr>
            <w:tcW w:w="1736" w:type="dxa"/>
            <w:noWrap/>
            <w:vAlign w:val="bottom"/>
          </w:tcPr>
          <w:p w14:paraId="7BA4E533" w14:textId="2B6BACCC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7FF9DFFE" w14:textId="5CD0CCE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BA2739" w14:paraId="36AD381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FC16CB" w14:textId="515175A3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6034BE7" w14:textId="3D1ABF23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1,57%</w:t>
            </w:r>
          </w:p>
        </w:tc>
        <w:tc>
          <w:tcPr>
            <w:tcW w:w="1737" w:type="dxa"/>
            <w:noWrap/>
            <w:vAlign w:val="bottom"/>
          </w:tcPr>
          <w:p w14:paraId="3783B4CF" w14:textId="46238226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0,82%</w:t>
            </w:r>
          </w:p>
        </w:tc>
        <w:tc>
          <w:tcPr>
            <w:tcW w:w="1736" w:type="dxa"/>
            <w:noWrap/>
            <w:vAlign w:val="bottom"/>
          </w:tcPr>
          <w:p w14:paraId="52BC4583" w14:textId="5B44BCE0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7" w:type="dxa"/>
            <w:noWrap/>
            <w:vAlign w:val="bottom"/>
          </w:tcPr>
          <w:p w14:paraId="1BC3840A" w14:textId="770ECBBE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BA2739" w14:paraId="7774FD0A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E4EB17D" w14:textId="0DAB2738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BFBD30B" w14:textId="7A0C5819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1,51%</w:t>
            </w:r>
          </w:p>
        </w:tc>
        <w:tc>
          <w:tcPr>
            <w:tcW w:w="1737" w:type="dxa"/>
            <w:noWrap/>
            <w:vAlign w:val="bottom"/>
          </w:tcPr>
          <w:p w14:paraId="26DBFD2D" w14:textId="469C9F3B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1,58%</w:t>
            </w:r>
          </w:p>
        </w:tc>
        <w:tc>
          <w:tcPr>
            <w:tcW w:w="1736" w:type="dxa"/>
            <w:noWrap/>
            <w:vAlign w:val="bottom"/>
          </w:tcPr>
          <w:p w14:paraId="608C7951" w14:textId="019586DC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08170DB1" w14:textId="60635307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BA2739" w14:paraId="7756E66B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1C5C3F" w14:textId="5D751AB8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10BC138" w14:textId="708EEEB7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1,26%</w:t>
            </w:r>
          </w:p>
        </w:tc>
        <w:tc>
          <w:tcPr>
            <w:tcW w:w="1737" w:type="dxa"/>
            <w:noWrap/>
            <w:vAlign w:val="bottom"/>
          </w:tcPr>
          <w:p w14:paraId="3B003D23" w14:textId="3668D592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6" w:type="dxa"/>
            <w:noWrap/>
            <w:vAlign w:val="bottom"/>
          </w:tcPr>
          <w:p w14:paraId="13363F9C" w14:textId="6ED61BE0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7" w:type="dxa"/>
            <w:noWrap/>
            <w:vAlign w:val="bottom"/>
          </w:tcPr>
          <w:p w14:paraId="23330516" w14:textId="26F85869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BA2739" w14:paraId="3067A89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D2975F" w14:textId="20648DB0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9060522" w14:textId="4C9C4EBC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36FFB93A" w14:textId="23856C2C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0,98%</w:t>
            </w:r>
          </w:p>
        </w:tc>
        <w:tc>
          <w:tcPr>
            <w:tcW w:w="1736" w:type="dxa"/>
            <w:noWrap/>
            <w:vAlign w:val="bottom"/>
          </w:tcPr>
          <w:p w14:paraId="0B71B1AD" w14:textId="5093A0B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-0,50%</w:t>
            </w:r>
          </w:p>
        </w:tc>
        <w:tc>
          <w:tcPr>
            <w:tcW w:w="1737" w:type="dxa"/>
            <w:noWrap/>
            <w:vAlign w:val="bottom"/>
          </w:tcPr>
          <w:p w14:paraId="23B9F7E4" w14:textId="4A893FF5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BA2739" w14:paraId="748F805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BB7CA1" w14:textId="0E676BAE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1AA8E2D0" w14:textId="309AA53D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5C12137D" w14:textId="37C1E363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1,35%</w:t>
            </w:r>
          </w:p>
        </w:tc>
        <w:tc>
          <w:tcPr>
            <w:tcW w:w="1736" w:type="dxa"/>
            <w:noWrap/>
            <w:vAlign w:val="bottom"/>
          </w:tcPr>
          <w:p w14:paraId="3C8278A7" w14:textId="243D18B8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-0,87%</w:t>
            </w:r>
          </w:p>
        </w:tc>
        <w:tc>
          <w:tcPr>
            <w:tcW w:w="1737" w:type="dxa"/>
            <w:noWrap/>
            <w:vAlign w:val="bottom"/>
          </w:tcPr>
          <w:p w14:paraId="745B7B20" w14:textId="56EA16D2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BA2739" w14:paraId="44CCECA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3C9F31" w14:textId="6D7A572B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0B3FD2E" w14:textId="096F0782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7" w:type="dxa"/>
            <w:noWrap/>
            <w:vAlign w:val="bottom"/>
          </w:tcPr>
          <w:p w14:paraId="4404BA82" w14:textId="037FB58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6" w:type="dxa"/>
            <w:noWrap/>
            <w:vAlign w:val="bottom"/>
          </w:tcPr>
          <w:p w14:paraId="0473DD2E" w14:textId="5563074E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6BF8D9EB" w14:textId="531C155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BA2739" w14:paraId="10949DC1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9FAC3F" w14:textId="776AF0C2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7C9F9DBD" w14:textId="5CA339F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127345FD" w14:textId="7CF46DF5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6" w:type="dxa"/>
            <w:noWrap/>
            <w:vAlign w:val="bottom"/>
          </w:tcPr>
          <w:p w14:paraId="6B50A4CB" w14:textId="482B420B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0FCEEE32" w14:textId="3E918B85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BA2739" w14:paraId="641072BE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74A152" w14:textId="70A239E4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55DA713" w14:textId="1A93D219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74DF4709" w14:textId="33EFBCB5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6" w:type="dxa"/>
            <w:noWrap/>
            <w:vAlign w:val="bottom"/>
          </w:tcPr>
          <w:p w14:paraId="34B51AE2" w14:textId="0F274B5E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22D51842" w14:textId="7182FFEE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BA2739" w14:paraId="5C6A9352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0EC9E6" w14:textId="49A142CC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60646574" w14:textId="4A8C7755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0694F85F" w14:textId="09CACEF3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6" w:type="dxa"/>
            <w:noWrap/>
            <w:vAlign w:val="bottom"/>
          </w:tcPr>
          <w:p w14:paraId="1C091733" w14:textId="4471F64D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-0,35%</w:t>
            </w:r>
          </w:p>
        </w:tc>
        <w:tc>
          <w:tcPr>
            <w:tcW w:w="1737" w:type="dxa"/>
            <w:noWrap/>
            <w:vAlign w:val="bottom"/>
          </w:tcPr>
          <w:p w14:paraId="23CBCC55" w14:textId="6302C063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BA2739" w14:paraId="70AE1BE6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A2A4B3" w14:textId="7B9B7CB0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D956728" w14:textId="170B6D44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07A33463" w14:textId="2C6B90F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6" w:type="dxa"/>
            <w:noWrap/>
            <w:vAlign w:val="bottom"/>
          </w:tcPr>
          <w:p w14:paraId="1B1D7F0D" w14:textId="35A4FD3E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-0,54%</w:t>
            </w:r>
          </w:p>
        </w:tc>
        <w:tc>
          <w:tcPr>
            <w:tcW w:w="1737" w:type="dxa"/>
            <w:noWrap/>
            <w:vAlign w:val="bottom"/>
          </w:tcPr>
          <w:p w14:paraId="559FDB54" w14:textId="1593FF21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BA2739" w14:paraId="6F14BA59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714675" w14:textId="69AF5307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EA8D2BE" w14:textId="06111CA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1DA98D81" w14:textId="59859FE4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1,17%</w:t>
            </w:r>
          </w:p>
        </w:tc>
        <w:tc>
          <w:tcPr>
            <w:tcW w:w="1736" w:type="dxa"/>
            <w:noWrap/>
            <w:vAlign w:val="bottom"/>
          </w:tcPr>
          <w:p w14:paraId="0CA65679" w14:textId="7653CA83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-0,97%</w:t>
            </w:r>
          </w:p>
        </w:tc>
        <w:tc>
          <w:tcPr>
            <w:tcW w:w="1737" w:type="dxa"/>
            <w:noWrap/>
            <w:vAlign w:val="bottom"/>
          </w:tcPr>
          <w:p w14:paraId="645013CE" w14:textId="078CF7E2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BA2739" w14:paraId="4D93F5BC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3DD37C" w14:textId="460E48FB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3E6E5EF" w14:textId="2D12A1A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6C0FC9E7" w14:textId="3ED0165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34C19915" w14:textId="4FF550C2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021A7F58" w14:textId="1127FDD1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BA2739" w14:paraId="7344F96D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4711EE" w14:textId="4640FE83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1879FC5" w14:textId="4670BB49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B0906E8" w14:textId="6DCDB53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345AD0EB" w14:textId="07AEB736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B0D9620" w14:textId="54B74232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77B20" w:rsidRPr="00BA2739" w14:paraId="2CD167E2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21C674" w14:textId="15735F1E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2C733B9" w14:textId="0614CB68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18030B" w14:textId="66CC0F8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473997BD" w14:textId="3D7C711B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77EF6DE" w14:textId="6A0BE21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BA2739" w14:paraId="59ACF662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8B1CA5" w14:textId="64ED588E" w:rsidR="00277B20" w:rsidRPr="00792D12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BD6D417" w14:textId="006B3561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B932A6E" w14:textId="2BEB6C08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7CFA104" w14:textId="019C45AE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360F53D" w14:textId="6329C9D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77B20" w:rsidRPr="00BA2739" w14:paraId="2D959D7C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74E38B" w14:textId="7527C78D" w:rsidR="00277B20" w:rsidRPr="00792D12" w:rsidRDefault="00277B20" w:rsidP="00277B2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E4A3273" w14:textId="2DCC6DD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F7E2F48" w14:textId="4F4539EF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6E8BE43" w14:textId="656A4722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9D7F9C4" w14:textId="79D116F2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0199" w:rsidRPr="00BA2739" w14:paraId="2DCEFC5B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C76A3F" w14:textId="77777777" w:rsidR="00120199" w:rsidRPr="00BA2739" w:rsidRDefault="00120199" w:rsidP="001201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043E8AE" w14:textId="02C78B92" w:rsidR="00120199" w:rsidRPr="00BA2739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841FD01" w14:textId="7BCD01B6" w:rsidR="00120199" w:rsidRPr="00BA2739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693E622" w14:textId="77777777" w:rsidR="00120199" w:rsidRPr="00BA2739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2F07541" w14:textId="77777777" w:rsidR="00120199" w:rsidRPr="00BA2739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BA2739" w14:paraId="4861D20F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8B3FC4E" w14:textId="77777777" w:rsidR="00792D12" w:rsidRPr="00BA2739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BE346F4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925D9FA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C2835C5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DA39A43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BA2739" w14:paraId="3E6FAAA6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BC45B7E" w14:textId="77777777" w:rsidR="00792D12" w:rsidRPr="00BA2739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6F6ED01" w14:textId="5BF09A08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9EF1F7F" w14:textId="3779EFC8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59826B3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9117984" w14:textId="77777777" w:rsidR="00792D12" w:rsidRPr="00BA2739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732F9B00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CF27925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D1E6E49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379CB4C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2790837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83CE526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59B75660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45A31AF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330C298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0A607A7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C80619F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42DBCF8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105F478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9798A5F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6BE551F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ED474B4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78E13B4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096B309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361E0CD1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2479EB2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09FE34B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0DF5272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26A9A9B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EBA24AF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BA2739" w14:paraId="39168AC4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9DE6D17" w14:textId="77777777" w:rsidR="00F858F3" w:rsidRPr="00BA2739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50BE9EB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51998B0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2037A3E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A758259" w14:textId="77777777" w:rsidR="00F858F3" w:rsidRPr="00BA2739" w:rsidRDefault="00F858F3" w:rsidP="00BA273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BA2739" w14:paraId="5265A9C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0D65367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94A53DC" w14:textId="7CDCC2B4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56,71%</w:t>
            </w:r>
          </w:p>
        </w:tc>
        <w:tc>
          <w:tcPr>
            <w:tcW w:w="1737" w:type="dxa"/>
            <w:noWrap/>
            <w:vAlign w:val="bottom"/>
          </w:tcPr>
          <w:p w14:paraId="237FF6AA" w14:textId="3C265D0A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48,24%</w:t>
            </w:r>
          </w:p>
        </w:tc>
        <w:tc>
          <w:tcPr>
            <w:tcW w:w="1736" w:type="dxa"/>
            <w:noWrap/>
          </w:tcPr>
          <w:p w14:paraId="7F26A621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8C0400B" w14:textId="77777777" w:rsidR="00277B20" w:rsidRPr="00BA2739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1302C70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BA2739" w14:paraId="7272DFA0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0258E0B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BC70F2B" w14:textId="1C4EEB1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E9DAFED" w14:textId="5890D897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BA2739" w14:paraId="583FA670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BF9F6BC" w14:textId="5872A924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F7B5CA4" w14:textId="24C36558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43,14%</w:t>
            </w:r>
          </w:p>
        </w:tc>
        <w:tc>
          <w:tcPr>
            <w:tcW w:w="2977" w:type="dxa"/>
            <w:vAlign w:val="bottom"/>
          </w:tcPr>
          <w:p w14:paraId="3A9DF152" w14:textId="7713A693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33,79%</w:t>
            </w:r>
          </w:p>
        </w:tc>
      </w:tr>
      <w:tr w:rsidR="00277B20" w:rsidRPr="00BA2739" w14:paraId="4391DEF5" w14:textId="77777777" w:rsidTr="001201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CE0F3C0" w14:textId="12F7AEB0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CF3D727" w14:textId="47EA4BCA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53,39%</w:t>
            </w:r>
          </w:p>
        </w:tc>
        <w:tc>
          <w:tcPr>
            <w:tcW w:w="2977" w:type="dxa"/>
            <w:vAlign w:val="bottom"/>
          </w:tcPr>
          <w:p w14:paraId="3191DB2B" w14:textId="026A5DED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43,80%</w:t>
            </w:r>
          </w:p>
        </w:tc>
      </w:tr>
    </w:tbl>
    <w:p w14:paraId="4E232AC7" w14:textId="77777777" w:rsidR="00C07DDA" w:rsidRPr="00BA2739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BA2739" w14:paraId="26BF26E9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62D02F7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77D77C11" w14:textId="31205EC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20BF9D2D" w14:textId="7E036104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71FD8AB5" w14:textId="77777777" w:rsidR="00A635A4" w:rsidRPr="00BA2739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Variazione</w:t>
            </w:r>
          </w:p>
        </w:tc>
      </w:tr>
      <w:tr w:rsidR="00277B20" w:rsidRPr="00BA2739" w14:paraId="2F722635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E447484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Contratti c/terzi</w:t>
            </w:r>
          </w:p>
        </w:tc>
        <w:tc>
          <w:tcPr>
            <w:tcW w:w="2192" w:type="dxa"/>
            <w:vAlign w:val="bottom"/>
          </w:tcPr>
          <w:p w14:paraId="7336A472" w14:textId="00F42E5F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1.904.156</w:t>
            </w:r>
          </w:p>
        </w:tc>
        <w:tc>
          <w:tcPr>
            <w:tcW w:w="2460" w:type="dxa"/>
            <w:vAlign w:val="bottom"/>
          </w:tcPr>
          <w:p w14:paraId="124FA7F9" w14:textId="32A3A863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1.326.092</w:t>
            </w:r>
          </w:p>
        </w:tc>
        <w:tc>
          <w:tcPr>
            <w:tcW w:w="2259" w:type="dxa"/>
            <w:vAlign w:val="bottom"/>
          </w:tcPr>
          <w:p w14:paraId="14EBA6FE" w14:textId="4B7FA872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43,59%</w:t>
            </w:r>
          </w:p>
        </w:tc>
      </w:tr>
      <w:tr w:rsidR="00277B20" w:rsidRPr="00BA2739" w14:paraId="148CBD37" w14:textId="77777777" w:rsidTr="001201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930811E" w14:textId="1E771885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64D628C6" w14:textId="7B6DF185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274.279</w:t>
            </w:r>
          </w:p>
        </w:tc>
        <w:tc>
          <w:tcPr>
            <w:tcW w:w="2460" w:type="dxa"/>
            <w:vAlign w:val="bottom"/>
          </w:tcPr>
          <w:p w14:paraId="06E71BB6" w14:textId="43D76437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241.431</w:t>
            </w:r>
          </w:p>
        </w:tc>
        <w:tc>
          <w:tcPr>
            <w:tcW w:w="2259" w:type="dxa"/>
            <w:vAlign w:val="bottom"/>
          </w:tcPr>
          <w:p w14:paraId="6B1EB82E" w14:textId="392C7736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13,61%</w:t>
            </w:r>
          </w:p>
        </w:tc>
      </w:tr>
      <w:tr w:rsidR="00277B20" w:rsidRPr="00BA2739" w14:paraId="1435686B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643AE3C" w14:textId="77777777" w:rsidR="00277B20" w:rsidRPr="00BA2739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A2739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1D802A09" w14:textId="79E6154D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6,94</w:t>
            </w:r>
          </w:p>
        </w:tc>
        <w:tc>
          <w:tcPr>
            <w:tcW w:w="2460" w:type="dxa"/>
            <w:vAlign w:val="bottom"/>
          </w:tcPr>
          <w:p w14:paraId="58D96705" w14:textId="0ACC1E24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5,49</w:t>
            </w:r>
          </w:p>
        </w:tc>
        <w:tc>
          <w:tcPr>
            <w:tcW w:w="2259" w:type="dxa"/>
            <w:vAlign w:val="bottom"/>
          </w:tcPr>
          <w:p w14:paraId="27521D29" w14:textId="77777777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FF37F06" w14:textId="77777777" w:rsidR="00F858F3" w:rsidRPr="00B2004F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OPZIONI SU AZIONI </w:t>
      </w:r>
      <w:r w:rsidR="00BE3EDD">
        <w:rPr>
          <w:color w:val="4F81BD" w:themeColor="accent1"/>
        </w:rPr>
        <w:t xml:space="preserve">- </w:t>
      </w:r>
      <w:r w:rsidR="00DD014E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1B5D0530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327953" w14:paraId="46096B36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5A9CCD84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C851AF1" w14:textId="1F09A37E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29676F29" w14:textId="3FEE756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020490C" w14:textId="315DD12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8046907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AE88A2A" w14:textId="3C3E0D2E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77B20" w:rsidRPr="00327953" w14:paraId="6DF4570A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62DD7E" w14:textId="18652000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5D813AC" w14:textId="7A895B6A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10,18%</w:t>
            </w:r>
          </w:p>
        </w:tc>
        <w:tc>
          <w:tcPr>
            <w:tcW w:w="1737" w:type="dxa"/>
            <w:noWrap/>
            <w:vAlign w:val="bottom"/>
          </w:tcPr>
          <w:p w14:paraId="5D7792B6" w14:textId="0284F34A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4,69%</w:t>
            </w:r>
          </w:p>
        </w:tc>
        <w:tc>
          <w:tcPr>
            <w:tcW w:w="1736" w:type="dxa"/>
            <w:noWrap/>
            <w:vAlign w:val="bottom"/>
          </w:tcPr>
          <w:p w14:paraId="4F44392B" w14:textId="41760213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5,49%</w:t>
            </w:r>
          </w:p>
        </w:tc>
        <w:tc>
          <w:tcPr>
            <w:tcW w:w="1737" w:type="dxa"/>
            <w:noWrap/>
            <w:vAlign w:val="bottom"/>
          </w:tcPr>
          <w:p w14:paraId="0751F36D" w14:textId="673A627A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77B20" w:rsidRPr="00327953" w14:paraId="64CACFB4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BC0E8C" w14:textId="45E0CF6A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3686EAB3" w14:textId="5C820154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8,56%</w:t>
            </w:r>
          </w:p>
        </w:tc>
        <w:tc>
          <w:tcPr>
            <w:tcW w:w="1737" w:type="dxa"/>
            <w:noWrap/>
            <w:vAlign w:val="bottom"/>
          </w:tcPr>
          <w:p w14:paraId="70E6A6B2" w14:textId="0279DBF8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7,40%</w:t>
            </w:r>
          </w:p>
        </w:tc>
        <w:tc>
          <w:tcPr>
            <w:tcW w:w="1736" w:type="dxa"/>
            <w:noWrap/>
            <w:vAlign w:val="bottom"/>
          </w:tcPr>
          <w:p w14:paraId="5B95FA6A" w14:textId="17F87484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7" w:type="dxa"/>
            <w:noWrap/>
            <w:vAlign w:val="bottom"/>
          </w:tcPr>
          <w:p w14:paraId="23B4A92C" w14:textId="319AA102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77B20" w:rsidRPr="00327953" w14:paraId="65192FAD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8F1A9C" w14:textId="141F84EC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3FCB3EE" w14:textId="183B183F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7,79%</w:t>
            </w:r>
          </w:p>
        </w:tc>
        <w:tc>
          <w:tcPr>
            <w:tcW w:w="1737" w:type="dxa"/>
            <w:noWrap/>
            <w:vAlign w:val="bottom"/>
          </w:tcPr>
          <w:p w14:paraId="008F8276" w14:textId="2E1DD971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5,19%</w:t>
            </w:r>
          </w:p>
        </w:tc>
        <w:tc>
          <w:tcPr>
            <w:tcW w:w="1736" w:type="dxa"/>
            <w:noWrap/>
            <w:vAlign w:val="bottom"/>
          </w:tcPr>
          <w:p w14:paraId="1C8CA9E8" w14:textId="4A2B9280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2,60%</w:t>
            </w:r>
          </w:p>
        </w:tc>
        <w:tc>
          <w:tcPr>
            <w:tcW w:w="1737" w:type="dxa"/>
            <w:noWrap/>
            <w:vAlign w:val="bottom"/>
          </w:tcPr>
          <w:p w14:paraId="5B5EF63C" w14:textId="04A0192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77B20" w:rsidRPr="00327953" w14:paraId="6B67E76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46FA22" w14:textId="0CF1F983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47F6AE9C" w14:textId="39FDD23C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4,53%</w:t>
            </w:r>
          </w:p>
        </w:tc>
        <w:tc>
          <w:tcPr>
            <w:tcW w:w="1737" w:type="dxa"/>
            <w:noWrap/>
            <w:vAlign w:val="bottom"/>
          </w:tcPr>
          <w:p w14:paraId="5D9582B8" w14:textId="597711C0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3,77%</w:t>
            </w:r>
          </w:p>
        </w:tc>
        <w:tc>
          <w:tcPr>
            <w:tcW w:w="1736" w:type="dxa"/>
            <w:noWrap/>
            <w:vAlign w:val="bottom"/>
          </w:tcPr>
          <w:p w14:paraId="4BC4A3D6" w14:textId="47F0D74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7" w:type="dxa"/>
            <w:noWrap/>
            <w:vAlign w:val="bottom"/>
          </w:tcPr>
          <w:p w14:paraId="51CE1E29" w14:textId="7D809C08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77B20" w:rsidRPr="00327953" w14:paraId="14A9D2E8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264D51" w14:textId="49EED0CC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470D4B3" w14:textId="69CCFF8B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4,19%</w:t>
            </w:r>
          </w:p>
        </w:tc>
        <w:tc>
          <w:tcPr>
            <w:tcW w:w="1737" w:type="dxa"/>
            <w:noWrap/>
            <w:vAlign w:val="bottom"/>
          </w:tcPr>
          <w:p w14:paraId="679C9A50" w14:textId="787464BD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3,95%</w:t>
            </w:r>
          </w:p>
        </w:tc>
        <w:tc>
          <w:tcPr>
            <w:tcW w:w="1736" w:type="dxa"/>
            <w:noWrap/>
            <w:vAlign w:val="bottom"/>
          </w:tcPr>
          <w:p w14:paraId="7DD8CD3E" w14:textId="2449A06C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0146D018" w14:textId="379C0928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77B20" w:rsidRPr="00327953" w14:paraId="0E566139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0CCBDF" w14:textId="781806AA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4FF61B31" w14:textId="4CC49E5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2,67%</w:t>
            </w:r>
          </w:p>
        </w:tc>
        <w:tc>
          <w:tcPr>
            <w:tcW w:w="1737" w:type="dxa"/>
            <w:noWrap/>
            <w:vAlign w:val="bottom"/>
          </w:tcPr>
          <w:p w14:paraId="2F7DFB9F" w14:textId="2DFC6AAB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2,84%</w:t>
            </w:r>
          </w:p>
        </w:tc>
        <w:tc>
          <w:tcPr>
            <w:tcW w:w="1736" w:type="dxa"/>
            <w:noWrap/>
            <w:vAlign w:val="bottom"/>
          </w:tcPr>
          <w:p w14:paraId="0F2ACDEB" w14:textId="4794F8E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782A6AF6" w14:textId="391D0358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77B20" w:rsidRPr="00327953" w14:paraId="093B0D93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DC72F1" w14:textId="29160982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7E3259F8" w14:textId="4D777F17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2,67%</w:t>
            </w:r>
          </w:p>
        </w:tc>
        <w:tc>
          <w:tcPr>
            <w:tcW w:w="1737" w:type="dxa"/>
            <w:noWrap/>
            <w:vAlign w:val="bottom"/>
          </w:tcPr>
          <w:p w14:paraId="6CB277CD" w14:textId="7C537E67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6" w:type="dxa"/>
            <w:noWrap/>
            <w:vAlign w:val="bottom"/>
          </w:tcPr>
          <w:p w14:paraId="15AAE54B" w14:textId="2A252896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0,92%</w:t>
            </w:r>
          </w:p>
        </w:tc>
        <w:tc>
          <w:tcPr>
            <w:tcW w:w="1737" w:type="dxa"/>
            <w:noWrap/>
            <w:vAlign w:val="bottom"/>
          </w:tcPr>
          <w:p w14:paraId="582B1E6D" w14:textId="6E92BD02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77B20" w:rsidRPr="00327953" w14:paraId="7BB04FF6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8468F0" w14:textId="0E69F09D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7BAA34B" w14:textId="11406651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2,21%</w:t>
            </w:r>
          </w:p>
        </w:tc>
        <w:tc>
          <w:tcPr>
            <w:tcW w:w="1737" w:type="dxa"/>
            <w:noWrap/>
            <w:vAlign w:val="bottom"/>
          </w:tcPr>
          <w:p w14:paraId="3E17417F" w14:textId="6EA1FC80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1,94%</w:t>
            </w:r>
          </w:p>
        </w:tc>
        <w:tc>
          <w:tcPr>
            <w:tcW w:w="1736" w:type="dxa"/>
            <w:noWrap/>
            <w:vAlign w:val="bottom"/>
          </w:tcPr>
          <w:p w14:paraId="1D388965" w14:textId="5760BADA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1CFB9C85" w14:textId="34ED1CE1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77B20" w:rsidRPr="00327953" w14:paraId="25B40CCA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F892AB" w14:textId="0779BBDC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1C1F7F2B" w14:textId="64288B6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7F5E4E50" w14:textId="0279269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6" w:type="dxa"/>
            <w:noWrap/>
            <w:vAlign w:val="bottom"/>
          </w:tcPr>
          <w:p w14:paraId="5FEF4E05" w14:textId="7CCA5AD3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7" w:type="dxa"/>
            <w:noWrap/>
            <w:vAlign w:val="bottom"/>
          </w:tcPr>
          <w:p w14:paraId="7A90F280" w14:textId="7A0B470A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77B20" w:rsidRPr="00327953" w14:paraId="021C5945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5B77A1" w14:textId="1DB13B41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B091196" w14:textId="333AE064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7" w:type="dxa"/>
            <w:noWrap/>
            <w:vAlign w:val="bottom"/>
          </w:tcPr>
          <w:p w14:paraId="05F486E1" w14:textId="74BF2382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4,20%</w:t>
            </w:r>
          </w:p>
        </w:tc>
        <w:tc>
          <w:tcPr>
            <w:tcW w:w="1736" w:type="dxa"/>
            <w:noWrap/>
            <w:vAlign w:val="bottom"/>
          </w:tcPr>
          <w:p w14:paraId="10E721FC" w14:textId="63C2217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-2,45%</w:t>
            </w:r>
          </w:p>
        </w:tc>
        <w:tc>
          <w:tcPr>
            <w:tcW w:w="1737" w:type="dxa"/>
            <w:noWrap/>
            <w:vAlign w:val="bottom"/>
          </w:tcPr>
          <w:p w14:paraId="0E0F7586" w14:textId="298BD4F0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77B20" w:rsidRPr="00327953" w14:paraId="10C31C7C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995967" w14:textId="7474BFD2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5A0773C6" w14:textId="3DEFC3D1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1,63%</w:t>
            </w:r>
          </w:p>
        </w:tc>
        <w:tc>
          <w:tcPr>
            <w:tcW w:w="1737" w:type="dxa"/>
            <w:noWrap/>
            <w:vAlign w:val="bottom"/>
          </w:tcPr>
          <w:p w14:paraId="6AF15BFA" w14:textId="3237EB63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1,11%</w:t>
            </w:r>
          </w:p>
        </w:tc>
        <w:tc>
          <w:tcPr>
            <w:tcW w:w="1736" w:type="dxa"/>
            <w:noWrap/>
            <w:vAlign w:val="bottom"/>
          </w:tcPr>
          <w:p w14:paraId="486278FC" w14:textId="264E133A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04C83C6F" w14:textId="1C445EE1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77B20" w:rsidRPr="00327953" w14:paraId="23179A4D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287054" w14:textId="05F8AA2B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26A1198" w14:textId="2FA4F197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1,58%</w:t>
            </w:r>
          </w:p>
        </w:tc>
        <w:tc>
          <w:tcPr>
            <w:tcW w:w="1737" w:type="dxa"/>
            <w:noWrap/>
            <w:vAlign w:val="bottom"/>
          </w:tcPr>
          <w:p w14:paraId="2A31CE36" w14:textId="65D4E9A5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2,02%</w:t>
            </w:r>
          </w:p>
        </w:tc>
        <w:tc>
          <w:tcPr>
            <w:tcW w:w="1736" w:type="dxa"/>
            <w:noWrap/>
            <w:vAlign w:val="bottom"/>
          </w:tcPr>
          <w:p w14:paraId="53C0A6DD" w14:textId="34145D32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-0,44%</w:t>
            </w:r>
          </w:p>
        </w:tc>
        <w:tc>
          <w:tcPr>
            <w:tcW w:w="1737" w:type="dxa"/>
            <w:noWrap/>
            <w:vAlign w:val="bottom"/>
          </w:tcPr>
          <w:p w14:paraId="20CE3D6F" w14:textId="0C48237B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77B20" w:rsidRPr="00327953" w14:paraId="4DABDCD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8740AE" w14:textId="4685D0C4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EC942B4" w14:textId="16A6DA0E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1,23%</w:t>
            </w:r>
          </w:p>
        </w:tc>
        <w:tc>
          <w:tcPr>
            <w:tcW w:w="1737" w:type="dxa"/>
            <w:noWrap/>
            <w:vAlign w:val="bottom"/>
          </w:tcPr>
          <w:p w14:paraId="3A10D805" w14:textId="1A07FF50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6" w:type="dxa"/>
            <w:noWrap/>
            <w:vAlign w:val="bottom"/>
          </w:tcPr>
          <w:p w14:paraId="333C0F8F" w14:textId="3FDA6AB1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222DAF54" w14:textId="393BDED8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77B20" w:rsidRPr="00327953" w14:paraId="26F67CB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440E34" w14:textId="48E0D671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EE1C286" w14:textId="748F7BF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1,19%</w:t>
            </w:r>
          </w:p>
        </w:tc>
        <w:tc>
          <w:tcPr>
            <w:tcW w:w="1737" w:type="dxa"/>
            <w:noWrap/>
            <w:vAlign w:val="bottom"/>
          </w:tcPr>
          <w:p w14:paraId="25F05C28" w14:textId="3F92FD62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1,76%</w:t>
            </w:r>
          </w:p>
        </w:tc>
        <w:tc>
          <w:tcPr>
            <w:tcW w:w="1736" w:type="dxa"/>
            <w:noWrap/>
            <w:vAlign w:val="bottom"/>
          </w:tcPr>
          <w:p w14:paraId="110C3D55" w14:textId="050F65DB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-0,57%</w:t>
            </w:r>
          </w:p>
        </w:tc>
        <w:tc>
          <w:tcPr>
            <w:tcW w:w="1737" w:type="dxa"/>
            <w:noWrap/>
            <w:vAlign w:val="bottom"/>
          </w:tcPr>
          <w:p w14:paraId="1D998E58" w14:textId="3AC3407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77B20" w:rsidRPr="00327953" w14:paraId="545C8B2C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1C5665" w14:textId="6F8C56F6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2F2B4492" w14:textId="75F11DBD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7" w:type="dxa"/>
            <w:noWrap/>
            <w:vAlign w:val="bottom"/>
          </w:tcPr>
          <w:p w14:paraId="29F273C0" w14:textId="3E0EDDF6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6" w:type="dxa"/>
            <w:noWrap/>
            <w:vAlign w:val="bottom"/>
          </w:tcPr>
          <w:p w14:paraId="554F5701" w14:textId="5B65FB6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5FC99B6D" w14:textId="726ACB33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77B20" w:rsidRPr="00327953" w14:paraId="3EDA4BA5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540A5F" w14:textId="06025E7D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C1ED43A" w14:textId="23EF97BC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65C07655" w14:textId="399CD539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1,28%</w:t>
            </w:r>
          </w:p>
        </w:tc>
        <w:tc>
          <w:tcPr>
            <w:tcW w:w="1736" w:type="dxa"/>
            <w:noWrap/>
            <w:vAlign w:val="bottom"/>
          </w:tcPr>
          <w:p w14:paraId="23887CBD" w14:textId="50ACC1F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-0,43%</w:t>
            </w:r>
          </w:p>
        </w:tc>
        <w:tc>
          <w:tcPr>
            <w:tcW w:w="1737" w:type="dxa"/>
            <w:noWrap/>
            <w:vAlign w:val="bottom"/>
          </w:tcPr>
          <w:p w14:paraId="46261AAD" w14:textId="0E9963B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77B20" w:rsidRPr="00327953" w14:paraId="7795F0CE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794C8E4" w14:textId="2D94290C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1EBA567" w14:textId="27F76D9B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48351A56" w14:textId="5A348848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6" w:type="dxa"/>
            <w:noWrap/>
            <w:vAlign w:val="bottom"/>
          </w:tcPr>
          <w:p w14:paraId="38403EBF" w14:textId="2C5D1C1B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13B3E647" w14:textId="0B0C0B82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77B20" w:rsidRPr="00327953" w14:paraId="4715F3A4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4405D2" w14:textId="68222994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2A03437" w14:textId="01A20B2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0,62%</w:t>
            </w:r>
          </w:p>
        </w:tc>
        <w:tc>
          <w:tcPr>
            <w:tcW w:w="1737" w:type="dxa"/>
            <w:noWrap/>
            <w:vAlign w:val="bottom"/>
          </w:tcPr>
          <w:p w14:paraId="76FFDD2C" w14:textId="40939337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0,74%</w:t>
            </w:r>
          </w:p>
        </w:tc>
        <w:tc>
          <w:tcPr>
            <w:tcW w:w="1736" w:type="dxa"/>
            <w:noWrap/>
            <w:vAlign w:val="bottom"/>
          </w:tcPr>
          <w:p w14:paraId="50D4CDDB" w14:textId="788384F6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0EEA218E" w14:textId="6890D0D1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7B20" w:rsidRPr="00327953" w14:paraId="390CF8B3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30B71E" w14:textId="16A7E115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7EDB9E3" w14:textId="41729F7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560117F3" w14:textId="655CAB50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0300A0FE" w14:textId="2F250B68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4A2CF056" w14:textId="3B336B7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77B20" w:rsidRPr="00327953" w14:paraId="7ED2D383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ADB342" w14:textId="3EAEE0DE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FC2C8B6" w14:textId="55F56B4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2E9AD0E0" w14:textId="43227431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1,96%</w:t>
            </w:r>
          </w:p>
        </w:tc>
        <w:tc>
          <w:tcPr>
            <w:tcW w:w="1736" w:type="dxa"/>
            <w:noWrap/>
            <w:vAlign w:val="bottom"/>
          </w:tcPr>
          <w:p w14:paraId="044BE44A" w14:textId="1BD0420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-1,53%</w:t>
            </w:r>
          </w:p>
        </w:tc>
        <w:tc>
          <w:tcPr>
            <w:tcW w:w="1737" w:type="dxa"/>
            <w:noWrap/>
            <w:vAlign w:val="bottom"/>
          </w:tcPr>
          <w:p w14:paraId="6E81A639" w14:textId="1F81282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77B20" w:rsidRPr="00327953" w14:paraId="5E785065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093DB3" w14:textId="38ED7F49" w:rsidR="00277B20" w:rsidRPr="00275C15" w:rsidRDefault="00277B20" w:rsidP="00277B2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290F8A1" w14:textId="0A38F2AF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3E9F3B63" w14:textId="45C2CAE9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DB62B63" w14:textId="5CEF3458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50AB80C8" w14:textId="5FB7FCCB" w:rsidR="00277B20" w:rsidRPr="00275C15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77B20" w:rsidRPr="00327953" w14:paraId="42504253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B1276E" w14:textId="1794A09B" w:rsidR="00277B20" w:rsidRPr="00275C15" w:rsidRDefault="00277B20" w:rsidP="00277B2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F4280A6" w14:textId="6C693363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54E4A67" w14:textId="352520D4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789330C" w14:textId="54CB5DDC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5784734" w14:textId="7ECE8B85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0199" w:rsidRPr="00327953" w14:paraId="357E03E8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0D38FB" w14:textId="2B5784C1" w:rsidR="00120199" w:rsidRPr="00275C15" w:rsidRDefault="00120199" w:rsidP="001201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24FABF5" w14:textId="26BC92C6" w:rsidR="00120199" w:rsidRPr="00275C15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584A761" w14:textId="30A78C42" w:rsidR="00120199" w:rsidRPr="00275C15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D15F1C1" w14:textId="49933D68" w:rsidR="00120199" w:rsidRPr="00275C15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DE857D2" w14:textId="5ED5C27E" w:rsidR="00120199" w:rsidRPr="00275C15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0199" w:rsidRPr="00327953" w14:paraId="5C932F6C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68B558" w14:textId="77777777" w:rsidR="00120199" w:rsidRPr="00327953" w:rsidRDefault="00120199" w:rsidP="001201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201D78B" w14:textId="7985528F" w:rsidR="00120199" w:rsidRPr="00327953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BB6E2E3" w14:textId="415F2117" w:rsidR="00120199" w:rsidRPr="00327953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22AEDD1" w14:textId="77777777" w:rsidR="00120199" w:rsidRPr="00327953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3F22C1D" w14:textId="77777777" w:rsidR="00120199" w:rsidRPr="00327953" w:rsidRDefault="00120199" w:rsidP="0012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327953" w14:paraId="1EE311C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58F28BD" w14:textId="77777777" w:rsidR="00792D12" w:rsidRPr="00327953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01AA0B8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8948651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4F1923D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2840C93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327953" w14:paraId="22DB5000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2E1036" w14:textId="77777777" w:rsidR="00792D12" w:rsidRPr="00327953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A3096F8" w14:textId="37C2D570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51CA080" w14:textId="49E02A47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6464ABC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1ADC7EB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60029057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298CA5E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A986518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36B279A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0DB2FA3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3BF6140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204DBB2D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D684D5E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56D0158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1D9398D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581B2FC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BBC4271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6CDF009A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11263D2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98C4B27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62BE52B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D037FD5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A4BE6B9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2C3AE25F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226F308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B4640B6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12D78E9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884409C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4AF82D5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0AD67940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A0B2ACE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97607F0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01B59A1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44A4E5A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1ACBCDE" w14:textId="77777777" w:rsidR="00F858F3" w:rsidRPr="00327953" w:rsidRDefault="00F858F3" w:rsidP="0032795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7B20" w:rsidRPr="00327953" w14:paraId="1731DCE2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0F6559A" w14:textId="6AAA2C2D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53EEE7A" w14:textId="16FC4D45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56,41%</w:t>
            </w:r>
          </w:p>
        </w:tc>
        <w:tc>
          <w:tcPr>
            <w:tcW w:w="1737" w:type="dxa"/>
            <w:noWrap/>
            <w:vAlign w:val="bottom"/>
          </w:tcPr>
          <w:p w14:paraId="3A4FAFFD" w14:textId="682D1B5E" w:rsidR="00277B20" w:rsidRPr="00275C15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43,52%</w:t>
            </w:r>
          </w:p>
        </w:tc>
        <w:tc>
          <w:tcPr>
            <w:tcW w:w="1736" w:type="dxa"/>
            <w:noWrap/>
          </w:tcPr>
          <w:p w14:paraId="1E1F4571" w14:textId="34520B2F" w:rsidR="00277B20" w:rsidRPr="00327953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B7D34C" w14:textId="123732F2" w:rsidR="00277B20" w:rsidRPr="00327953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EF38E82" w14:textId="77777777" w:rsidR="00C07DDA" w:rsidRPr="00327953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327953" w14:paraId="632281EB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0AF0B37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64DE55E" w14:textId="154822B6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15651D52" w14:textId="3AEBD072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77B20" w:rsidRPr="00327953" w14:paraId="3D987CD0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DDEF7E0" w14:textId="508FEF03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2DD82E9C" w14:textId="279622B0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35,24%</w:t>
            </w:r>
          </w:p>
        </w:tc>
        <w:tc>
          <w:tcPr>
            <w:tcW w:w="2977" w:type="dxa"/>
            <w:vAlign w:val="bottom"/>
          </w:tcPr>
          <w:p w14:paraId="5980CF2B" w14:textId="45BD7FFF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25,43%</w:t>
            </w:r>
          </w:p>
        </w:tc>
      </w:tr>
      <w:tr w:rsidR="00277B20" w:rsidRPr="00327953" w14:paraId="4CA28511" w14:textId="77777777" w:rsidTr="001201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DF90963" w14:textId="12C2182F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5E9DBED" w14:textId="11E42D1C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46,39%</w:t>
            </w:r>
          </w:p>
        </w:tc>
        <w:tc>
          <w:tcPr>
            <w:tcW w:w="2977" w:type="dxa"/>
            <w:vAlign w:val="bottom"/>
          </w:tcPr>
          <w:p w14:paraId="27A6FF72" w14:textId="79A34BFB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37,97%</w:t>
            </w:r>
          </w:p>
        </w:tc>
      </w:tr>
    </w:tbl>
    <w:p w14:paraId="11D7B00D" w14:textId="77777777" w:rsidR="00C07DDA" w:rsidRPr="00327953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327953" w14:paraId="68090568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A899228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2AB8BB2F" w14:textId="05BAE49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0BF1CBD3" w14:textId="6BF40069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562517A5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Variazione</w:t>
            </w:r>
          </w:p>
        </w:tc>
      </w:tr>
      <w:tr w:rsidR="00277B20" w:rsidRPr="00327953" w14:paraId="398ED1FB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D215946" w14:textId="77777777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Contratti c/terzi</w:t>
            </w:r>
          </w:p>
        </w:tc>
        <w:tc>
          <w:tcPr>
            <w:tcW w:w="2192" w:type="dxa"/>
            <w:vAlign w:val="bottom"/>
          </w:tcPr>
          <w:p w14:paraId="436A9AE3" w14:textId="4D2F3B06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7.903.072</w:t>
            </w:r>
          </w:p>
        </w:tc>
        <w:tc>
          <w:tcPr>
            <w:tcW w:w="2460" w:type="dxa"/>
            <w:vAlign w:val="bottom"/>
          </w:tcPr>
          <w:p w14:paraId="6BC4C2BD" w14:textId="27F828F4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9.962.179</w:t>
            </w:r>
          </w:p>
        </w:tc>
        <w:tc>
          <w:tcPr>
            <w:tcW w:w="2259" w:type="dxa"/>
            <w:vAlign w:val="bottom"/>
          </w:tcPr>
          <w:p w14:paraId="766FC96A" w14:textId="7647CEF6" w:rsidR="00277B20" w:rsidRPr="00792D12" w:rsidRDefault="00277B20" w:rsidP="00277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-20,67%</w:t>
            </w:r>
          </w:p>
        </w:tc>
      </w:tr>
      <w:tr w:rsidR="00277B20" w:rsidRPr="00327953" w14:paraId="4F4F2CFF" w14:textId="77777777" w:rsidTr="001201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71A685F" w14:textId="181230CF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0B22C45B" w14:textId="3BDBA7A8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207.193</w:t>
            </w:r>
          </w:p>
        </w:tc>
        <w:tc>
          <w:tcPr>
            <w:tcW w:w="2460" w:type="dxa"/>
            <w:vAlign w:val="bottom"/>
          </w:tcPr>
          <w:p w14:paraId="4FD3813E" w14:textId="74BBAE45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277.618</w:t>
            </w:r>
          </w:p>
        </w:tc>
        <w:tc>
          <w:tcPr>
            <w:tcW w:w="2259" w:type="dxa"/>
            <w:vAlign w:val="bottom"/>
          </w:tcPr>
          <w:p w14:paraId="00120B7B" w14:textId="5F198FE4" w:rsidR="00277B20" w:rsidRPr="00792D12" w:rsidRDefault="00277B20" w:rsidP="00277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-25,37%</w:t>
            </w:r>
          </w:p>
        </w:tc>
      </w:tr>
      <w:tr w:rsidR="00277B20" w:rsidRPr="00327953" w14:paraId="60341415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B7E1F23" w14:textId="77777777" w:rsidR="00277B20" w:rsidRPr="00327953" w:rsidRDefault="00277B20" w:rsidP="00277B2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207D436E" w14:textId="72B1FD5C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38,14</w:t>
            </w:r>
          </w:p>
        </w:tc>
        <w:tc>
          <w:tcPr>
            <w:tcW w:w="2460" w:type="dxa"/>
            <w:vAlign w:val="bottom"/>
          </w:tcPr>
          <w:p w14:paraId="009091E8" w14:textId="3151A2F7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35,88</w:t>
            </w:r>
          </w:p>
        </w:tc>
        <w:tc>
          <w:tcPr>
            <w:tcW w:w="2259" w:type="dxa"/>
            <w:vAlign w:val="bottom"/>
          </w:tcPr>
          <w:p w14:paraId="453A1493" w14:textId="77777777" w:rsidR="00277B20" w:rsidRPr="00792D12" w:rsidRDefault="00277B20" w:rsidP="00277B2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F35646" w14:textId="77777777" w:rsidR="00F858F3" w:rsidRPr="00B2004F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FUTURES SU AZIONI </w:t>
      </w:r>
      <w:r w:rsidR="00BE3EDD">
        <w:rPr>
          <w:color w:val="4F81BD" w:themeColor="accent1"/>
        </w:rPr>
        <w:t xml:space="preserve">- </w:t>
      </w:r>
      <w:r w:rsidR="00DD014E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TERZI</w:t>
      </w:r>
    </w:p>
    <w:p w14:paraId="3A41A3CE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327953" w14:paraId="6446F065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335F0A7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75DEFD7" w14:textId="02FDC88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9C6D549" w14:textId="4672283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5BF13B9E" w14:textId="7756CC7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FA682DA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32864662" w14:textId="01F6A53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72042E" w:rsidRPr="00327953" w14:paraId="07E373C4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8147E2" w14:textId="059F258A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4AAF5FE0" w14:textId="456FCF63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7" w:type="dxa"/>
            <w:noWrap/>
            <w:vAlign w:val="bottom"/>
          </w:tcPr>
          <w:p w14:paraId="44FDE5BF" w14:textId="6D73E1E7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B63B444" w14:textId="11AE4C10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7" w:type="dxa"/>
            <w:noWrap/>
            <w:vAlign w:val="bottom"/>
          </w:tcPr>
          <w:p w14:paraId="1B07736A" w14:textId="66A8C013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72042E" w:rsidRPr="00327953" w14:paraId="7426EBAD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BDCD9E7" w14:textId="72DD96EE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2A0597F" w14:textId="39F4163B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7C962A29" w14:textId="6405B351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6" w:type="dxa"/>
            <w:noWrap/>
            <w:vAlign w:val="bottom"/>
          </w:tcPr>
          <w:p w14:paraId="27DC5C9C" w14:textId="49BD1B1E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4BD98DEF" w14:textId="76C62EED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2042E" w:rsidRPr="00327953" w14:paraId="543B6B9D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2C5498" w14:textId="2C0342EB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03B611BB" w14:textId="142AFEED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7AD2E37C" w14:textId="50827D7F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76E00DD" w14:textId="39156234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7" w:type="dxa"/>
            <w:noWrap/>
            <w:vAlign w:val="bottom"/>
          </w:tcPr>
          <w:p w14:paraId="2223D8A8" w14:textId="04654268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2042E" w:rsidRPr="00327953" w14:paraId="4ABDB454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9C43ED" w14:textId="3BB13745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3E67F10" w14:textId="18A22158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2CA569D9" w14:textId="1EE5E731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60DA65EC" w14:textId="74E2FB72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-0,69%</w:t>
            </w:r>
          </w:p>
        </w:tc>
        <w:tc>
          <w:tcPr>
            <w:tcW w:w="1737" w:type="dxa"/>
            <w:noWrap/>
            <w:vAlign w:val="bottom"/>
          </w:tcPr>
          <w:p w14:paraId="35850280" w14:textId="42D52A8B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2042E" w:rsidRPr="00327953" w14:paraId="094C55DD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ABBCD75" w14:textId="06CDE028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1C604A1" w14:textId="231D00DA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64AC6961" w14:textId="2AB66604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4553A6B9" w14:textId="3274717C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52FE40B" w14:textId="38326735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2042E" w:rsidRPr="00327953" w14:paraId="29C35C51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086A6EC" w14:textId="00AE28D6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8BE88F2" w14:textId="34613F48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20988442" w14:textId="11C58713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16169160" w14:textId="61DBA1AE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7AD3C898" w14:textId="41D67421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2042E" w:rsidRPr="00327953" w14:paraId="63E1426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B954E2" w14:textId="5B31E4F6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EFA4A8D" w14:textId="24299C71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730AE500" w14:textId="6B63642E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40032C8" w14:textId="5F071D57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16A8C6D9" w14:textId="2EFD6A59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2042E" w:rsidRPr="00327953" w14:paraId="02606FE3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BD65DF" w14:textId="4AE5A6B5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3FA10E7" w14:textId="67394771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4B672F2E" w14:textId="1B76A427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5089D991" w14:textId="31842770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536C720E" w14:textId="35E9C12A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2042E" w:rsidRPr="00327953" w14:paraId="6DE3C0B7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B1010D" w14:textId="63A43B0D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4982224C" w14:textId="2E7A56E9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206A8E89" w14:textId="266505C8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32EAD7D7" w14:textId="0C9B9B08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7667242D" w14:textId="48973F6C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2042E" w:rsidRPr="00327953" w14:paraId="23257D67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651BBF" w14:textId="6D68F0F1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2E6648D" w14:textId="6DF03E2A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BAC39DB" w14:textId="348DD1C3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6" w:type="dxa"/>
            <w:noWrap/>
            <w:vAlign w:val="bottom"/>
          </w:tcPr>
          <w:p w14:paraId="19346F16" w14:textId="3FB4ED19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-0,51%</w:t>
            </w:r>
          </w:p>
        </w:tc>
        <w:tc>
          <w:tcPr>
            <w:tcW w:w="1737" w:type="dxa"/>
            <w:noWrap/>
            <w:vAlign w:val="bottom"/>
          </w:tcPr>
          <w:p w14:paraId="0B966175" w14:textId="1AF8A7F5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2042E" w:rsidRPr="00327953" w14:paraId="48F711DF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0489F39" w14:textId="50502D9B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D114080" w14:textId="2EF277B7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E42C78" w14:textId="26E76A3E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0,87%</w:t>
            </w:r>
          </w:p>
        </w:tc>
        <w:tc>
          <w:tcPr>
            <w:tcW w:w="1736" w:type="dxa"/>
            <w:noWrap/>
            <w:vAlign w:val="bottom"/>
          </w:tcPr>
          <w:p w14:paraId="118AB364" w14:textId="16E3A04C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-0,87%</w:t>
            </w:r>
          </w:p>
        </w:tc>
        <w:tc>
          <w:tcPr>
            <w:tcW w:w="1737" w:type="dxa"/>
            <w:noWrap/>
            <w:vAlign w:val="bottom"/>
          </w:tcPr>
          <w:p w14:paraId="1110B4DC" w14:textId="358939EF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2042E" w:rsidRPr="00327953" w14:paraId="2E212E4E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756975" w14:textId="6C8053BF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85B985A" w14:textId="1219C2FF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CF08F49" w14:textId="015A66D0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23B5AE26" w14:textId="0426F98E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0BE6BE5A" w14:textId="664074B5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2042E" w:rsidRPr="00327953" w14:paraId="626E4253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FA353C" w14:textId="51CA2AF6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ED922E7" w14:textId="53DF0CD6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B1CC52C" w14:textId="2EFC560B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0,82%</w:t>
            </w:r>
          </w:p>
        </w:tc>
        <w:tc>
          <w:tcPr>
            <w:tcW w:w="1736" w:type="dxa"/>
            <w:noWrap/>
            <w:vAlign w:val="bottom"/>
          </w:tcPr>
          <w:p w14:paraId="69C4E6DF" w14:textId="217DB7D8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-0,82%</w:t>
            </w:r>
          </w:p>
        </w:tc>
        <w:tc>
          <w:tcPr>
            <w:tcW w:w="1737" w:type="dxa"/>
            <w:noWrap/>
            <w:vAlign w:val="bottom"/>
          </w:tcPr>
          <w:p w14:paraId="41D9FA90" w14:textId="6F0296C2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2042E" w:rsidRPr="00327953" w14:paraId="3653C089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F34617" w14:textId="515E80A5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21D4B554" w14:textId="317A10A2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83D0A3D" w14:textId="32DCF6C3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8BEC53D" w14:textId="61F35D7F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9A19166" w14:textId="5056B5FD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2042E" w:rsidRPr="00327953" w14:paraId="014785F3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0E1060" w14:textId="2990977C" w:rsidR="0072042E" w:rsidRPr="00792D12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4970D17" w14:textId="2B102B18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DDF981" w14:textId="2651F04B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4BB9B503" w14:textId="307C260B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-0,06%</w:t>
            </w:r>
          </w:p>
        </w:tc>
        <w:tc>
          <w:tcPr>
            <w:tcW w:w="1737" w:type="dxa"/>
            <w:noWrap/>
            <w:vAlign w:val="bottom"/>
          </w:tcPr>
          <w:p w14:paraId="2E620431" w14:textId="25CC41B3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2042E" w:rsidRPr="00327953" w14:paraId="52B74012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FEA6CF5" w14:textId="59B343E7" w:rsidR="0072042E" w:rsidRPr="00792D12" w:rsidRDefault="0072042E" w:rsidP="0072042E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F62B6E4" w14:textId="2BE6262C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90F1D8A" w14:textId="4A369B07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3ECE4B0" w14:textId="0D38E636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20E1E8F" w14:textId="00490B08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0199" w:rsidRPr="00327953" w14:paraId="26A3C6A9" w14:textId="77777777" w:rsidTr="0012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21D07F" w14:textId="32C71250" w:rsidR="00120199" w:rsidRPr="00792D12" w:rsidRDefault="00120199" w:rsidP="001201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B488FCC" w14:textId="55CEA0D8" w:rsidR="00120199" w:rsidRPr="00792D12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9C16205" w14:textId="082A320C" w:rsidR="00120199" w:rsidRPr="00792D12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ADA3CA6" w14:textId="34CAC1B7" w:rsidR="00120199" w:rsidRPr="00792D12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155762F" w14:textId="409BD1C1" w:rsidR="00120199" w:rsidRPr="00792D12" w:rsidRDefault="00120199" w:rsidP="0012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327953" w14:paraId="491B0906" w14:textId="77777777" w:rsidTr="00792D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4091636" w14:textId="2AD4060D" w:rsidR="00792D12" w:rsidRPr="00792D12" w:rsidRDefault="00792D12" w:rsidP="00792D1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BA60723" w14:textId="0CDA3947" w:rsidR="00792D12" w:rsidRPr="00792D12" w:rsidRDefault="00792D12" w:rsidP="00792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B6C8462" w14:textId="24C0A081" w:rsidR="00792D12" w:rsidRPr="00792D12" w:rsidRDefault="00792D12" w:rsidP="00792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D1F860F" w14:textId="64F84D76" w:rsidR="00792D12" w:rsidRPr="00792D12" w:rsidRDefault="00792D12" w:rsidP="00792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D66BAD9" w14:textId="1A164F99" w:rsidR="00792D12" w:rsidRPr="00792D12" w:rsidRDefault="00792D12" w:rsidP="00792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327953" w14:paraId="0DB43B3F" w14:textId="77777777" w:rsidTr="00792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D35FE20" w14:textId="1F6C4BA7" w:rsidR="00792D12" w:rsidRPr="00792D12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B62EE64" w14:textId="655C4267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6020DB" w14:textId="1D08601F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BD96A0C" w14:textId="4307CB20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EC604D4" w14:textId="22F8EF79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2D12" w:rsidRPr="00327953" w14:paraId="56FEE8B2" w14:textId="77777777" w:rsidTr="00792D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65187AC" w14:textId="77777777" w:rsidR="00792D12" w:rsidRPr="00327953" w:rsidRDefault="00792D12" w:rsidP="00792D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0CEBCA3" w14:textId="651F35E9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2762F3" w14:textId="40C51E10" w:rsidR="00792D12" w:rsidRPr="00792D12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00BE4CA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354CB10" w14:textId="77777777" w:rsidR="00792D12" w:rsidRPr="00327953" w:rsidRDefault="00792D12" w:rsidP="00792D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49EB1357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C31E43C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10D970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167E174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940E6FE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9EAA5E5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155312FC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A51BF94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D2F7BD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1AEB03C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5ABD26D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BB4775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51C733A3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F0C00E0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A8A551B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7EFF4CE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B8F5063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40BBFBC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6907CE61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214D1B9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3BE9A6C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236F082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0B58BD0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FC16335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4850E31F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B854F41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3E5FA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7E8915E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01D74D3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517ACE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0193D3E8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22607DB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808567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2EA0161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6439A2B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A7E1260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1731DD3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F351565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2827A51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29B445C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99A782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6005E63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427498A7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F00A4B4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6BB74CC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07C5CB2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DFD0769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F120C75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31D3912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E1128B2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352E8F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EC01D53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B31F1F1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61B5689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6C9380AB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C742E4E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0213576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50CC284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58F02D7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A6CD77B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58F3" w:rsidRPr="00327953" w14:paraId="142D83BB" w14:textId="77777777" w:rsidTr="000F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1BC0B0B" w14:textId="77777777" w:rsidR="00F858F3" w:rsidRPr="00327953" w:rsidRDefault="00F858F3" w:rsidP="000F280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60086A0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D399C09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6240565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EEFE4E9" w14:textId="77777777" w:rsidR="00F858F3" w:rsidRPr="00327953" w:rsidRDefault="00F858F3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042E" w:rsidRPr="00327953" w14:paraId="0B23C193" w14:textId="77777777" w:rsidTr="001201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123628B" w14:textId="77777777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35883E85" w14:textId="52344AB9" w:rsidR="0072042E" w:rsidRPr="00327953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1,42%</w:t>
            </w:r>
          </w:p>
        </w:tc>
        <w:tc>
          <w:tcPr>
            <w:tcW w:w="1737" w:type="dxa"/>
            <w:noWrap/>
            <w:vAlign w:val="bottom"/>
          </w:tcPr>
          <w:p w14:paraId="46D34DDB" w14:textId="3B237F76" w:rsidR="0072042E" w:rsidRPr="00327953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3,73%</w:t>
            </w:r>
          </w:p>
        </w:tc>
        <w:tc>
          <w:tcPr>
            <w:tcW w:w="1736" w:type="dxa"/>
            <w:noWrap/>
          </w:tcPr>
          <w:p w14:paraId="335EA6B9" w14:textId="77777777" w:rsidR="0072042E" w:rsidRPr="00327953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12ECAB7" w14:textId="77777777" w:rsidR="0072042E" w:rsidRPr="00327953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5C5D7E0" w14:textId="77777777" w:rsidR="00C07DDA" w:rsidRPr="00327953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327953" w14:paraId="41E1E82C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1F7A469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46B29AF" w14:textId="6071FC3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E2AFABD" w14:textId="55F5A69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72042E" w:rsidRPr="00327953" w14:paraId="2FFFE163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294ACB7" w14:textId="6F9C9F6B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6CB29BF4" w14:textId="069426E9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1,29%</w:t>
            </w:r>
          </w:p>
        </w:tc>
        <w:tc>
          <w:tcPr>
            <w:tcW w:w="2977" w:type="dxa"/>
            <w:vAlign w:val="bottom"/>
          </w:tcPr>
          <w:p w14:paraId="1B15D7AE" w14:textId="7CA56B84" w:rsidR="0072042E" w:rsidRPr="00792D12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4,67%</w:t>
            </w:r>
          </w:p>
        </w:tc>
      </w:tr>
      <w:tr w:rsidR="0072042E" w:rsidRPr="00327953" w14:paraId="378601E9" w14:textId="77777777" w:rsidTr="00973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6766F21" w14:textId="200C7C8F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8920881" w14:textId="711AB3F7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1,42%</w:t>
            </w:r>
          </w:p>
        </w:tc>
        <w:tc>
          <w:tcPr>
            <w:tcW w:w="2977" w:type="dxa"/>
            <w:vAlign w:val="bottom"/>
          </w:tcPr>
          <w:p w14:paraId="655CE33A" w14:textId="2877053D" w:rsidR="0072042E" w:rsidRPr="00792D12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5,19%</w:t>
            </w:r>
          </w:p>
        </w:tc>
      </w:tr>
    </w:tbl>
    <w:p w14:paraId="2B041951" w14:textId="77777777" w:rsidR="00C07DDA" w:rsidRPr="00327953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327953" w14:paraId="23838800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74C11D0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1C544D27" w14:textId="20D6325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9209CEB" w14:textId="6A1C6DC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2330D5B7" w14:textId="77777777" w:rsidR="00A635A4" w:rsidRPr="00327953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Variazione</w:t>
            </w:r>
          </w:p>
        </w:tc>
      </w:tr>
      <w:tr w:rsidR="0072042E" w:rsidRPr="00327953" w14:paraId="41E0D507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8053C86" w14:textId="77777777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Contratti c/terzi</w:t>
            </w:r>
          </w:p>
        </w:tc>
        <w:tc>
          <w:tcPr>
            <w:tcW w:w="2192" w:type="dxa"/>
            <w:vAlign w:val="bottom"/>
          </w:tcPr>
          <w:p w14:paraId="4BEF8FF6" w14:textId="0F384F4B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864.263</w:t>
            </w:r>
          </w:p>
        </w:tc>
        <w:tc>
          <w:tcPr>
            <w:tcW w:w="2460" w:type="dxa"/>
            <w:vAlign w:val="bottom"/>
          </w:tcPr>
          <w:p w14:paraId="40729B72" w14:textId="7E46A405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1.226.226</w:t>
            </w:r>
          </w:p>
        </w:tc>
        <w:tc>
          <w:tcPr>
            <w:tcW w:w="2259" w:type="dxa"/>
            <w:vAlign w:val="bottom"/>
          </w:tcPr>
          <w:p w14:paraId="07C23E68" w14:textId="770F415C" w:rsidR="0072042E" w:rsidRPr="00AD72A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-29,52%</w:t>
            </w:r>
          </w:p>
        </w:tc>
      </w:tr>
      <w:tr w:rsidR="0072042E" w:rsidRPr="00327953" w14:paraId="5A4E6CE7" w14:textId="77777777" w:rsidTr="00973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9593EB0" w14:textId="5CE08E94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1FC6DB47" w14:textId="1F4B55D8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2.273</w:t>
            </w:r>
          </w:p>
        </w:tc>
        <w:tc>
          <w:tcPr>
            <w:tcW w:w="2460" w:type="dxa"/>
            <w:vAlign w:val="bottom"/>
          </w:tcPr>
          <w:p w14:paraId="2AD6F781" w14:textId="2828F6D8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1.745</w:t>
            </w:r>
          </w:p>
        </w:tc>
        <w:tc>
          <w:tcPr>
            <w:tcW w:w="2259" w:type="dxa"/>
            <w:vAlign w:val="bottom"/>
          </w:tcPr>
          <w:p w14:paraId="13E1D8FF" w14:textId="469278DC" w:rsidR="0072042E" w:rsidRPr="00AD72A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30,26%</w:t>
            </w:r>
          </w:p>
        </w:tc>
      </w:tr>
      <w:tr w:rsidR="0072042E" w:rsidRPr="00327953" w14:paraId="4E35B874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DB4B196" w14:textId="77777777" w:rsidR="0072042E" w:rsidRPr="00327953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27953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680D8EE6" w14:textId="6D2869E8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2460" w:type="dxa"/>
            <w:vAlign w:val="bottom"/>
          </w:tcPr>
          <w:p w14:paraId="6B2FEB5D" w14:textId="6AE82D8F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702</w:t>
            </w:r>
          </w:p>
        </w:tc>
        <w:tc>
          <w:tcPr>
            <w:tcW w:w="2259" w:type="dxa"/>
            <w:vAlign w:val="bottom"/>
          </w:tcPr>
          <w:p w14:paraId="28653883" w14:textId="77777777" w:rsidR="0072042E" w:rsidRPr="00AD72A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F22330" w14:textId="77777777" w:rsidR="00F858F3" w:rsidRPr="00F858F3" w:rsidRDefault="00F858F3" w:rsidP="00F858F3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F858F3">
        <w:rPr>
          <w:color w:val="4F81BD" w:themeColor="accent1"/>
        </w:rPr>
        <w:lastRenderedPageBreak/>
        <w:t>EUROTLX</w:t>
      </w:r>
      <w:r>
        <w:rPr>
          <w:color w:val="4F81BD" w:themeColor="accent1"/>
        </w:rPr>
        <w:t>:</w:t>
      </w:r>
      <w:r w:rsidRPr="00F858F3">
        <w:rPr>
          <w:color w:val="4F81BD" w:themeColor="accent1"/>
        </w:rPr>
        <w:t xml:space="preserve"> CONTROVALORI NEGOZIATI </w:t>
      </w:r>
      <w:r w:rsidR="000F2804">
        <w:rPr>
          <w:color w:val="4F81BD" w:themeColor="accent1"/>
        </w:rPr>
        <w:t>CONTO TERZI</w:t>
      </w:r>
    </w:p>
    <w:p w14:paraId="4D3CDB9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821235" w14:paraId="0829F645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2C183D4" w14:textId="77777777" w:rsidR="00A635A4" w:rsidRPr="008212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4EB3089" w14:textId="5CA9894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DB1CD6A" w14:textId="2260500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79222695" w14:textId="3934097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0BA50AD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14AA85E" w14:textId="56B5C11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72042E" w:rsidRPr="00821235" w14:paraId="74FD8C66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D9598E" w14:textId="2F92C0F7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94D8808" w14:textId="2C01A1D8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28,74%</w:t>
            </w:r>
          </w:p>
        </w:tc>
        <w:tc>
          <w:tcPr>
            <w:tcW w:w="1737" w:type="dxa"/>
            <w:noWrap/>
            <w:vAlign w:val="bottom"/>
          </w:tcPr>
          <w:p w14:paraId="3E6886E1" w14:textId="55AA9457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25,94%</w:t>
            </w:r>
          </w:p>
        </w:tc>
        <w:tc>
          <w:tcPr>
            <w:tcW w:w="1736" w:type="dxa"/>
            <w:noWrap/>
            <w:vAlign w:val="bottom"/>
          </w:tcPr>
          <w:p w14:paraId="4B0B35C3" w14:textId="0C09A247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2,80%</w:t>
            </w:r>
          </w:p>
        </w:tc>
        <w:tc>
          <w:tcPr>
            <w:tcW w:w="1737" w:type="dxa"/>
            <w:noWrap/>
            <w:vAlign w:val="bottom"/>
          </w:tcPr>
          <w:p w14:paraId="081A5362" w14:textId="68A33B02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2042E" w:rsidRPr="00821235" w14:paraId="334DE05B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000EEE" w14:textId="591BA4ED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3498D44" w14:textId="1492F2D7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21,15%</w:t>
            </w:r>
          </w:p>
        </w:tc>
        <w:tc>
          <w:tcPr>
            <w:tcW w:w="1737" w:type="dxa"/>
            <w:noWrap/>
            <w:vAlign w:val="bottom"/>
          </w:tcPr>
          <w:p w14:paraId="57BD2425" w14:textId="647AD44E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16,52%</w:t>
            </w:r>
          </w:p>
        </w:tc>
        <w:tc>
          <w:tcPr>
            <w:tcW w:w="1736" w:type="dxa"/>
            <w:noWrap/>
            <w:vAlign w:val="bottom"/>
          </w:tcPr>
          <w:p w14:paraId="0E20935C" w14:textId="572FA900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4,63%</w:t>
            </w:r>
          </w:p>
        </w:tc>
        <w:tc>
          <w:tcPr>
            <w:tcW w:w="1737" w:type="dxa"/>
            <w:noWrap/>
            <w:vAlign w:val="bottom"/>
          </w:tcPr>
          <w:p w14:paraId="12C1E3D3" w14:textId="5A7337B8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2042E" w:rsidRPr="00821235" w14:paraId="371F0C39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A4E092" w14:textId="112D7C11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9480EE4" w14:textId="18FD5312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15,46%</w:t>
            </w:r>
          </w:p>
        </w:tc>
        <w:tc>
          <w:tcPr>
            <w:tcW w:w="1737" w:type="dxa"/>
            <w:noWrap/>
            <w:vAlign w:val="bottom"/>
          </w:tcPr>
          <w:p w14:paraId="6C70101A" w14:textId="4968AA89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17,93%</w:t>
            </w:r>
          </w:p>
        </w:tc>
        <w:tc>
          <w:tcPr>
            <w:tcW w:w="1736" w:type="dxa"/>
            <w:noWrap/>
            <w:vAlign w:val="bottom"/>
          </w:tcPr>
          <w:p w14:paraId="22269608" w14:textId="4F63312C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-2,46%</w:t>
            </w:r>
          </w:p>
        </w:tc>
        <w:tc>
          <w:tcPr>
            <w:tcW w:w="1737" w:type="dxa"/>
            <w:noWrap/>
            <w:vAlign w:val="bottom"/>
          </w:tcPr>
          <w:p w14:paraId="3D5669A1" w14:textId="2B6231F0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2042E" w:rsidRPr="00821235" w14:paraId="7449F00F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D24AC2B" w14:textId="71228C91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42EDAFB5" w14:textId="5577825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5,57%</w:t>
            </w:r>
          </w:p>
        </w:tc>
        <w:tc>
          <w:tcPr>
            <w:tcW w:w="1737" w:type="dxa"/>
            <w:noWrap/>
            <w:vAlign w:val="bottom"/>
          </w:tcPr>
          <w:p w14:paraId="337A9489" w14:textId="64D06AEB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5,15%</w:t>
            </w:r>
          </w:p>
        </w:tc>
        <w:tc>
          <w:tcPr>
            <w:tcW w:w="1736" w:type="dxa"/>
            <w:noWrap/>
            <w:vAlign w:val="bottom"/>
          </w:tcPr>
          <w:p w14:paraId="00A12730" w14:textId="2AA2AA5D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416900A1" w14:textId="3D6E885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2042E" w:rsidRPr="00821235" w14:paraId="145990B7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8B775E" w14:textId="5470D07C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86F3E2C" w14:textId="06FB1A50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5,54%</w:t>
            </w:r>
          </w:p>
        </w:tc>
        <w:tc>
          <w:tcPr>
            <w:tcW w:w="1737" w:type="dxa"/>
            <w:noWrap/>
            <w:vAlign w:val="bottom"/>
          </w:tcPr>
          <w:p w14:paraId="4EB0DC79" w14:textId="6A2D2CCD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6,05%</w:t>
            </w:r>
          </w:p>
        </w:tc>
        <w:tc>
          <w:tcPr>
            <w:tcW w:w="1736" w:type="dxa"/>
            <w:noWrap/>
            <w:vAlign w:val="bottom"/>
          </w:tcPr>
          <w:p w14:paraId="7206FA87" w14:textId="621CA816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-0,51%</w:t>
            </w:r>
          </w:p>
        </w:tc>
        <w:tc>
          <w:tcPr>
            <w:tcW w:w="1737" w:type="dxa"/>
            <w:noWrap/>
            <w:vAlign w:val="bottom"/>
          </w:tcPr>
          <w:p w14:paraId="10C5EE74" w14:textId="00693840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2042E" w:rsidRPr="00821235" w14:paraId="0C9B152F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B117547" w14:textId="5F9FA413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77CCF27E" w14:textId="0A6648EB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5,28%</w:t>
            </w:r>
          </w:p>
        </w:tc>
        <w:tc>
          <w:tcPr>
            <w:tcW w:w="1737" w:type="dxa"/>
            <w:noWrap/>
            <w:vAlign w:val="bottom"/>
          </w:tcPr>
          <w:p w14:paraId="0C7FB37A" w14:textId="11082356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4,32%</w:t>
            </w:r>
          </w:p>
        </w:tc>
        <w:tc>
          <w:tcPr>
            <w:tcW w:w="1736" w:type="dxa"/>
            <w:noWrap/>
            <w:vAlign w:val="bottom"/>
          </w:tcPr>
          <w:p w14:paraId="1A1511C9" w14:textId="0040440E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0,96%</w:t>
            </w:r>
          </w:p>
        </w:tc>
        <w:tc>
          <w:tcPr>
            <w:tcW w:w="1737" w:type="dxa"/>
            <w:noWrap/>
            <w:vAlign w:val="bottom"/>
          </w:tcPr>
          <w:p w14:paraId="355803EB" w14:textId="3C7F8E33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2042E" w:rsidRPr="00821235" w14:paraId="21AA0238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885224" w14:textId="047F0E74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6CC3ED0B" w14:textId="195A246D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3,11%</w:t>
            </w:r>
          </w:p>
        </w:tc>
        <w:tc>
          <w:tcPr>
            <w:tcW w:w="1737" w:type="dxa"/>
            <w:noWrap/>
            <w:vAlign w:val="bottom"/>
          </w:tcPr>
          <w:p w14:paraId="3369A127" w14:textId="32342A7D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1,89%</w:t>
            </w:r>
          </w:p>
        </w:tc>
        <w:tc>
          <w:tcPr>
            <w:tcW w:w="1736" w:type="dxa"/>
            <w:noWrap/>
            <w:vAlign w:val="bottom"/>
          </w:tcPr>
          <w:p w14:paraId="76582D35" w14:textId="164EBC6D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7" w:type="dxa"/>
            <w:noWrap/>
            <w:vAlign w:val="bottom"/>
          </w:tcPr>
          <w:p w14:paraId="2FCB3481" w14:textId="659F7238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2042E" w:rsidRPr="00821235" w14:paraId="064FF9D9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23F184" w14:textId="30EDB945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07F52043" w14:textId="2AE94743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2,64%</w:t>
            </w:r>
          </w:p>
        </w:tc>
        <w:tc>
          <w:tcPr>
            <w:tcW w:w="1737" w:type="dxa"/>
            <w:noWrap/>
            <w:vAlign w:val="bottom"/>
          </w:tcPr>
          <w:p w14:paraId="61E34C81" w14:textId="525F9BD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2,84%</w:t>
            </w:r>
          </w:p>
        </w:tc>
        <w:tc>
          <w:tcPr>
            <w:tcW w:w="1736" w:type="dxa"/>
            <w:noWrap/>
            <w:vAlign w:val="bottom"/>
          </w:tcPr>
          <w:p w14:paraId="67FAEA78" w14:textId="38EAAAC0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2,64%</w:t>
            </w:r>
          </w:p>
        </w:tc>
        <w:tc>
          <w:tcPr>
            <w:tcW w:w="1737" w:type="dxa"/>
            <w:noWrap/>
            <w:vAlign w:val="bottom"/>
          </w:tcPr>
          <w:p w14:paraId="2001F63B" w14:textId="1DA5563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2042E" w:rsidRPr="00821235" w14:paraId="68C98DB0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30A717" w14:textId="6AE8C32F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686EC1A" w14:textId="7E94C80C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2,33%</w:t>
            </w:r>
          </w:p>
        </w:tc>
        <w:tc>
          <w:tcPr>
            <w:tcW w:w="1737" w:type="dxa"/>
            <w:noWrap/>
            <w:vAlign w:val="bottom"/>
          </w:tcPr>
          <w:p w14:paraId="311C9DFA" w14:textId="2CCB7CCE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2,40%</w:t>
            </w:r>
          </w:p>
        </w:tc>
        <w:tc>
          <w:tcPr>
            <w:tcW w:w="1736" w:type="dxa"/>
            <w:noWrap/>
            <w:vAlign w:val="bottom"/>
          </w:tcPr>
          <w:p w14:paraId="31E55577" w14:textId="157FBBD6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460C814F" w14:textId="6055C1C7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2042E" w:rsidRPr="00821235" w14:paraId="215D88AC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4D788C" w14:textId="54F7E29B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2166403" w14:textId="44BD430D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2,16%</w:t>
            </w:r>
          </w:p>
        </w:tc>
        <w:tc>
          <w:tcPr>
            <w:tcW w:w="1737" w:type="dxa"/>
            <w:noWrap/>
            <w:vAlign w:val="bottom"/>
          </w:tcPr>
          <w:p w14:paraId="00076FB5" w14:textId="2BC23565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2,06%</w:t>
            </w:r>
          </w:p>
        </w:tc>
        <w:tc>
          <w:tcPr>
            <w:tcW w:w="1736" w:type="dxa"/>
            <w:noWrap/>
            <w:vAlign w:val="bottom"/>
          </w:tcPr>
          <w:p w14:paraId="3855111A" w14:textId="54873E3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327DDB94" w14:textId="636A3AEA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2042E" w:rsidRPr="00821235" w14:paraId="4DC810A7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50E20A" w14:textId="7D62FDAB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5FC4BE8" w14:textId="59AA8114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1AF8FEEA" w14:textId="7D26D51F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D58259B" w14:textId="55CB05F0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19A799E8" w14:textId="68AFB5CE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72042E" w:rsidRPr="00821235" w14:paraId="07BDCF19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33B96D" w14:textId="37DE9613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4E5D4D82" w14:textId="71302281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1,83%</w:t>
            </w:r>
          </w:p>
        </w:tc>
        <w:tc>
          <w:tcPr>
            <w:tcW w:w="1737" w:type="dxa"/>
            <w:noWrap/>
            <w:vAlign w:val="bottom"/>
          </w:tcPr>
          <w:p w14:paraId="6C7355EE" w14:textId="5EA8934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2,22%</w:t>
            </w:r>
          </w:p>
        </w:tc>
        <w:tc>
          <w:tcPr>
            <w:tcW w:w="1736" w:type="dxa"/>
            <w:noWrap/>
            <w:vAlign w:val="bottom"/>
          </w:tcPr>
          <w:p w14:paraId="1FB48645" w14:textId="042680D5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-0,39%</w:t>
            </w:r>
          </w:p>
        </w:tc>
        <w:tc>
          <w:tcPr>
            <w:tcW w:w="1737" w:type="dxa"/>
            <w:noWrap/>
            <w:vAlign w:val="bottom"/>
          </w:tcPr>
          <w:p w14:paraId="6B8FD3D0" w14:textId="542918C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2042E" w:rsidRPr="00821235" w14:paraId="5A439BA1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BEA15D" w14:textId="47A8B3B5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074137DE" w14:textId="2E02F4AE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1,11%</w:t>
            </w:r>
          </w:p>
        </w:tc>
        <w:tc>
          <w:tcPr>
            <w:tcW w:w="1737" w:type="dxa"/>
            <w:noWrap/>
            <w:vAlign w:val="bottom"/>
          </w:tcPr>
          <w:p w14:paraId="6C08F346" w14:textId="42718D74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0,96%</w:t>
            </w:r>
          </w:p>
        </w:tc>
        <w:tc>
          <w:tcPr>
            <w:tcW w:w="1736" w:type="dxa"/>
            <w:noWrap/>
            <w:vAlign w:val="bottom"/>
          </w:tcPr>
          <w:p w14:paraId="2E69A40A" w14:textId="194C779B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25C6E4C8" w14:textId="25952E55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2042E" w:rsidRPr="00821235" w14:paraId="70EFA440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EB65A8F" w14:textId="671F2F1F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64BD0F71" w14:textId="325F939A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0,72%</w:t>
            </w:r>
          </w:p>
        </w:tc>
        <w:tc>
          <w:tcPr>
            <w:tcW w:w="1737" w:type="dxa"/>
            <w:noWrap/>
            <w:vAlign w:val="bottom"/>
          </w:tcPr>
          <w:p w14:paraId="440646AE" w14:textId="17AE3E8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6" w:type="dxa"/>
            <w:noWrap/>
            <w:vAlign w:val="bottom"/>
          </w:tcPr>
          <w:p w14:paraId="3FD258E1" w14:textId="12A1BB1B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03A87726" w14:textId="6193AA2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2042E" w:rsidRPr="00821235" w14:paraId="0CC8CED6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7D14FA" w14:textId="78F3DF4D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D9A79B0" w14:textId="3ECA8934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7" w:type="dxa"/>
            <w:noWrap/>
            <w:vAlign w:val="bottom"/>
          </w:tcPr>
          <w:p w14:paraId="6A3B179F" w14:textId="7AFE7005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0,83%</w:t>
            </w:r>
          </w:p>
        </w:tc>
        <w:tc>
          <w:tcPr>
            <w:tcW w:w="1736" w:type="dxa"/>
            <w:noWrap/>
            <w:vAlign w:val="bottom"/>
          </w:tcPr>
          <w:p w14:paraId="780621EC" w14:textId="0E1C71BF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1E5061E8" w14:textId="74445EA9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2042E" w:rsidRPr="00821235" w14:paraId="4F4C64E3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B39B25" w14:textId="7DF07506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1B53A526" w14:textId="0CC65C4C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72F359F3" w14:textId="30CF7F7D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6" w:type="dxa"/>
            <w:noWrap/>
            <w:vAlign w:val="bottom"/>
          </w:tcPr>
          <w:p w14:paraId="7CCEB37D" w14:textId="235ABAE0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20C8B820" w14:textId="6ABFDC65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2042E" w:rsidRPr="00821235" w14:paraId="6078C634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C73A52" w14:textId="5D76F14C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6153E2C" w14:textId="3713CBF3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7" w:type="dxa"/>
            <w:noWrap/>
            <w:vAlign w:val="bottom"/>
          </w:tcPr>
          <w:p w14:paraId="67FEE46A" w14:textId="0D83ECDE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6" w:type="dxa"/>
            <w:noWrap/>
            <w:vAlign w:val="bottom"/>
          </w:tcPr>
          <w:p w14:paraId="388DACD2" w14:textId="1922ADFC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2E2BC6DD" w14:textId="62794BE6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2042E" w:rsidRPr="00821235" w14:paraId="10B3BF93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58A265" w14:textId="6261AEF6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75AA694" w14:textId="58820F9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5BB543D8" w14:textId="109D4092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53F8ABA1" w14:textId="7BC2C84C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05DD2A7D" w14:textId="7A8B12B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2042E" w:rsidRPr="00821235" w14:paraId="52E9E83A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C92CCA" w14:textId="44597069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72C818AC" w14:textId="363A5113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1676FC8" w14:textId="76451313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7837F158" w14:textId="52F9C38D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1532A4D3" w14:textId="52CFD79B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2042E" w:rsidRPr="00821235" w14:paraId="245BA5FF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7ECE09" w14:textId="46A0F8EC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05B32EBA" w14:textId="3360E759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61447FF" w14:textId="279804EB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31AE4D8" w14:textId="0E017F12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C9F8D4" w14:textId="6A7484E4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2042E" w:rsidRPr="00821235" w14:paraId="13E3F0E2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AFBFE54" w14:textId="131B173E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6058BC6C" w14:textId="11575508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7416841" w14:textId="5E65CD86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33496A78" w14:textId="028A81AC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-0,18%</w:t>
            </w:r>
          </w:p>
        </w:tc>
        <w:tc>
          <w:tcPr>
            <w:tcW w:w="1737" w:type="dxa"/>
            <w:noWrap/>
            <w:vAlign w:val="bottom"/>
          </w:tcPr>
          <w:p w14:paraId="228643CE" w14:textId="169D5DDB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2042E" w:rsidRPr="00821235" w14:paraId="5065A0BC" w14:textId="77777777" w:rsidTr="00973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9CC6AD" w14:textId="2E266125" w:rsidR="0072042E" w:rsidRPr="007D4AD8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5B7E93A4" w14:textId="116996F8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1F2EEA5" w14:textId="1AD1695C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FB9F146" w14:textId="6EC3A9EA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B6A199F" w14:textId="635A5863" w:rsidR="0072042E" w:rsidRPr="007D4AD8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72042E" w:rsidRPr="00821235" w14:paraId="353EE379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D41A12" w14:textId="1BFDBAD7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14F91336" w14:textId="6FF57AA8" w:rsidR="0072042E" w:rsidRPr="00821235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262BCF5" w14:textId="376F73D8" w:rsidR="0072042E" w:rsidRPr="00821235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0F7E1A4" w14:textId="49BC0633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09813DE" w14:textId="4D46BF79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72042E" w:rsidRPr="00821235" w14:paraId="00D52962" w14:textId="77777777" w:rsidTr="007204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71C239" w14:textId="77777777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834CBBD" w14:textId="1AE4D983" w:rsidR="0072042E" w:rsidRPr="00821235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C78F2FE" w14:textId="4065C289" w:rsidR="0072042E" w:rsidRPr="00821235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70ED23E" w14:textId="77777777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EA45170" w14:textId="77777777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2042E" w:rsidRPr="00821235" w14:paraId="42945B54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8A958CC" w14:textId="77777777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3C05AA9" w14:textId="495A830C" w:rsidR="0072042E" w:rsidRPr="00F212C0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99,03%</w:t>
            </w:r>
          </w:p>
        </w:tc>
        <w:tc>
          <w:tcPr>
            <w:tcW w:w="1737" w:type="dxa"/>
            <w:noWrap/>
            <w:vAlign w:val="bottom"/>
          </w:tcPr>
          <w:p w14:paraId="2562C2FD" w14:textId="30623628" w:rsidR="0072042E" w:rsidRPr="00F212C0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87,73%</w:t>
            </w:r>
          </w:p>
        </w:tc>
        <w:tc>
          <w:tcPr>
            <w:tcW w:w="1736" w:type="dxa"/>
            <w:noWrap/>
          </w:tcPr>
          <w:p w14:paraId="58DF2339" w14:textId="77777777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3572E35" w14:textId="77777777" w:rsidR="0072042E" w:rsidRPr="00821235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0808892" w14:textId="77777777" w:rsidR="00C07DDA" w:rsidRPr="00821235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821235" w14:paraId="35D4D5BE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E0427D2" w14:textId="77777777" w:rsidR="00A635A4" w:rsidRPr="008212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30789AE0" w14:textId="404A9028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DDA5952" w14:textId="35710414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5CA15F60" w14:textId="77777777" w:rsidR="00A635A4" w:rsidRPr="00821235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Variazione</w:t>
            </w:r>
          </w:p>
        </w:tc>
      </w:tr>
      <w:tr w:rsidR="0072042E" w:rsidRPr="00821235" w14:paraId="5AF46BBB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118BB21" w14:textId="77777777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  <w:vAlign w:val="bottom"/>
          </w:tcPr>
          <w:p w14:paraId="6CCFCA69" w14:textId="6D653BF7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28.233.466.702</w:t>
            </w:r>
          </w:p>
        </w:tc>
        <w:tc>
          <w:tcPr>
            <w:tcW w:w="2460" w:type="dxa"/>
            <w:vAlign w:val="bottom"/>
          </w:tcPr>
          <w:p w14:paraId="7A950DC9" w14:textId="5FBA5A34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40.287.313.015</w:t>
            </w:r>
          </w:p>
        </w:tc>
        <w:tc>
          <w:tcPr>
            <w:tcW w:w="2259" w:type="dxa"/>
            <w:vAlign w:val="bottom"/>
          </w:tcPr>
          <w:p w14:paraId="433ECABC" w14:textId="0B23774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-29,92%</w:t>
            </w:r>
          </w:p>
        </w:tc>
      </w:tr>
      <w:tr w:rsidR="0072042E" w:rsidRPr="00821235" w14:paraId="3A5706CF" w14:textId="77777777" w:rsidTr="00973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DD5D22D" w14:textId="4E23D1E3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  <w:vAlign w:val="bottom"/>
          </w:tcPr>
          <w:p w14:paraId="3EED021B" w14:textId="6AA29D7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1.233.212</w:t>
            </w:r>
          </w:p>
        </w:tc>
        <w:tc>
          <w:tcPr>
            <w:tcW w:w="2460" w:type="dxa"/>
            <w:vAlign w:val="bottom"/>
          </w:tcPr>
          <w:p w14:paraId="2576A618" w14:textId="7B80393E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1.677.652</w:t>
            </w:r>
          </w:p>
        </w:tc>
        <w:tc>
          <w:tcPr>
            <w:tcW w:w="2259" w:type="dxa"/>
            <w:vAlign w:val="bottom"/>
          </w:tcPr>
          <w:p w14:paraId="53CEA9DB" w14:textId="0120FD4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-26,49%</w:t>
            </w:r>
          </w:p>
        </w:tc>
      </w:tr>
      <w:tr w:rsidR="0072042E" w:rsidRPr="00821235" w14:paraId="2833AE6A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7ACFB48" w14:textId="77777777" w:rsidR="0072042E" w:rsidRPr="00821235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 xml:space="preserve">Taglio medio </w:t>
            </w:r>
          </w:p>
        </w:tc>
        <w:tc>
          <w:tcPr>
            <w:tcW w:w="2192" w:type="dxa"/>
            <w:vAlign w:val="bottom"/>
          </w:tcPr>
          <w:p w14:paraId="0230C8F5" w14:textId="69A078A8" w:rsidR="0072042E" w:rsidRPr="007D4AD8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22.894</w:t>
            </w:r>
          </w:p>
        </w:tc>
        <w:tc>
          <w:tcPr>
            <w:tcW w:w="2460" w:type="dxa"/>
            <w:vAlign w:val="bottom"/>
          </w:tcPr>
          <w:p w14:paraId="249A23A4" w14:textId="4C41C143" w:rsidR="0072042E" w:rsidRPr="007D4AD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24.014</w:t>
            </w:r>
          </w:p>
        </w:tc>
        <w:tc>
          <w:tcPr>
            <w:tcW w:w="2259" w:type="dxa"/>
            <w:vAlign w:val="bottom"/>
          </w:tcPr>
          <w:p w14:paraId="48560CBE" w14:textId="77777777" w:rsidR="0072042E" w:rsidRPr="007D4AD8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1B6E6BB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BE860D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8296CB3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83BEFE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E6F922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9472AE7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A45AAFF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DBDD2A0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BD5B472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0784863" w14:textId="77777777" w:rsidR="00C07DDA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17DE90B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661EDC3" w14:textId="77777777" w:rsidR="000F2804" w:rsidRPr="00F858F3" w:rsidRDefault="000F2804" w:rsidP="000F2804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>
        <w:rPr>
          <w:color w:val="4F81BD" w:themeColor="accent1"/>
        </w:rPr>
        <w:lastRenderedPageBreak/>
        <w:t>HI MTF:</w:t>
      </w:r>
      <w:r w:rsidRPr="00F858F3">
        <w:rPr>
          <w:color w:val="4F81BD" w:themeColor="accent1"/>
        </w:rPr>
        <w:t xml:space="preserve"> CONTROVALORI NEGOZIATI </w:t>
      </w:r>
      <w:r>
        <w:rPr>
          <w:color w:val="4F81BD" w:themeColor="accent1"/>
        </w:rPr>
        <w:t>CONTO TERZI</w:t>
      </w:r>
    </w:p>
    <w:p w14:paraId="05EB3679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473A7D" w14:paraId="65ED913C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B957CBA" w14:textId="77777777" w:rsidR="00A635A4" w:rsidRPr="00473A7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20DEAAF6" w14:textId="3EB85F6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9516C79" w14:textId="129845A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63BB0DE9" w14:textId="36BD476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C42EB3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D77BF2B" w14:textId="0E46AD7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72042E" w:rsidRPr="00473A7D" w14:paraId="677A3587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5E9A8F9" w14:textId="03FF0025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Banca Akros</w:t>
            </w:r>
          </w:p>
        </w:tc>
        <w:tc>
          <w:tcPr>
            <w:tcW w:w="1736" w:type="dxa"/>
            <w:noWrap/>
          </w:tcPr>
          <w:p w14:paraId="5004542A" w14:textId="68B54D73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24,52%</w:t>
            </w:r>
          </w:p>
        </w:tc>
        <w:tc>
          <w:tcPr>
            <w:tcW w:w="1737" w:type="dxa"/>
            <w:noWrap/>
          </w:tcPr>
          <w:p w14:paraId="511DA4D3" w14:textId="0E6935F5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26,12%</w:t>
            </w:r>
          </w:p>
        </w:tc>
        <w:tc>
          <w:tcPr>
            <w:tcW w:w="1736" w:type="dxa"/>
            <w:noWrap/>
          </w:tcPr>
          <w:p w14:paraId="79491D1F" w14:textId="7547B12C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-1,60%</w:t>
            </w:r>
          </w:p>
        </w:tc>
        <w:tc>
          <w:tcPr>
            <w:tcW w:w="1737" w:type="dxa"/>
            <w:noWrap/>
          </w:tcPr>
          <w:p w14:paraId="04EF32BD" w14:textId="5A64D587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</w:t>
            </w:r>
          </w:p>
        </w:tc>
      </w:tr>
      <w:tr w:rsidR="0072042E" w:rsidRPr="00473A7D" w14:paraId="11E336F0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6647713" w14:textId="69606F49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Iccrea Banca</w:t>
            </w:r>
          </w:p>
        </w:tc>
        <w:tc>
          <w:tcPr>
            <w:tcW w:w="1736" w:type="dxa"/>
            <w:noWrap/>
          </w:tcPr>
          <w:p w14:paraId="6738F77B" w14:textId="339A3C28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19,71%</w:t>
            </w:r>
          </w:p>
        </w:tc>
        <w:tc>
          <w:tcPr>
            <w:tcW w:w="1737" w:type="dxa"/>
            <w:noWrap/>
          </w:tcPr>
          <w:p w14:paraId="0F7B12E3" w14:textId="3F028EF1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17,18%</w:t>
            </w:r>
          </w:p>
        </w:tc>
        <w:tc>
          <w:tcPr>
            <w:tcW w:w="1736" w:type="dxa"/>
            <w:noWrap/>
          </w:tcPr>
          <w:p w14:paraId="7F9042D6" w14:textId="6032872B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2,53%</w:t>
            </w:r>
          </w:p>
        </w:tc>
        <w:tc>
          <w:tcPr>
            <w:tcW w:w="1737" w:type="dxa"/>
            <w:noWrap/>
          </w:tcPr>
          <w:p w14:paraId="5C610AAB" w14:textId="0D7871BD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3</w:t>
            </w:r>
          </w:p>
        </w:tc>
      </w:tr>
      <w:tr w:rsidR="0072042E" w:rsidRPr="00473A7D" w14:paraId="15B4DB07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4BF4F7B" w14:textId="60B00F76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Nexi</w:t>
            </w:r>
          </w:p>
        </w:tc>
        <w:tc>
          <w:tcPr>
            <w:tcW w:w="1736" w:type="dxa"/>
            <w:noWrap/>
          </w:tcPr>
          <w:p w14:paraId="4A5907A9" w14:textId="5D4E1DB9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13,78%</w:t>
            </w:r>
          </w:p>
        </w:tc>
        <w:tc>
          <w:tcPr>
            <w:tcW w:w="1737" w:type="dxa"/>
            <w:noWrap/>
          </w:tcPr>
          <w:p w14:paraId="5487C066" w14:textId="18D725B7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14,70%</w:t>
            </w:r>
          </w:p>
        </w:tc>
        <w:tc>
          <w:tcPr>
            <w:tcW w:w="1736" w:type="dxa"/>
            <w:noWrap/>
          </w:tcPr>
          <w:p w14:paraId="76ECF95F" w14:textId="10CE995A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-0,92%</w:t>
            </w:r>
          </w:p>
        </w:tc>
        <w:tc>
          <w:tcPr>
            <w:tcW w:w="1737" w:type="dxa"/>
            <w:noWrap/>
          </w:tcPr>
          <w:p w14:paraId="7C279610" w14:textId="60DDCA31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4</w:t>
            </w:r>
          </w:p>
        </w:tc>
      </w:tr>
      <w:tr w:rsidR="0072042E" w:rsidRPr="00473A7D" w14:paraId="6EC726E5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6434EB8" w14:textId="37A291FE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Banca IMI</w:t>
            </w:r>
          </w:p>
        </w:tc>
        <w:tc>
          <w:tcPr>
            <w:tcW w:w="1736" w:type="dxa"/>
            <w:noWrap/>
          </w:tcPr>
          <w:p w14:paraId="6F2FC501" w14:textId="72C78F18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13,33%</w:t>
            </w:r>
          </w:p>
        </w:tc>
        <w:tc>
          <w:tcPr>
            <w:tcW w:w="1737" w:type="dxa"/>
            <w:noWrap/>
          </w:tcPr>
          <w:p w14:paraId="16A5A13D" w14:textId="1569E119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5,</w:t>
            </w:r>
            <w:r w:rsidR="00711BC4">
              <w:t>8</w:t>
            </w:r>
            <w:r w:rsidRPr="0053284C">
              <w:t>2%</w:t>
            </w:r>
          </w:p>
        </w:tc>
        <w:tc>
          <w:tcPr>
            <w:tcW w:w="1736" w:type="dxa"/>
            <w:noWrap/>
          </w:tcPr>
          <w:p w14:paraId="6B276DF6" w14:textId="07742B42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7,</w:t>
            </w:r>
            <w:r w:rsidR="00711BC4">
              <w:t>5</w:t>
            </w:r>
            <w:r w:rsidRPr="0053284C">
              <w:t>1%</w:t>
            </w:r>
          </w:p>
        </w:tc>
        <w:tc>
          <w:tcPr>
            <w:tcW w:w="1737" w:type="dxa"/>
            <w:noWrap/>
          </w:tcPr>
          <w:p w14:paraId="62B2572C" w14:textId="0A26316B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6</w:t>
            </w:r>
          </w:p>
        </w:tc>
      </w:tr>
      <w:tr w:rsidR="0072042E" w:rsidRPr="00473A7D" w14:paraId="62C77D35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92C1F51" w14:textId="76429DA6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Banca Aletti</w:t>
            </w:r>
          </w:p>
        </w:tc>
        <w:tc>
          <w:tcPr>
            <w:tcW w:w="1736" w:type="dxa"/>
            <w:noWrap/>
          </w:tcPr>
          <w:p w14:paraId="5CBA57A4" w14:textId="74A6E9F4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8,93%</w:t>
            </w:r>
          </w:p>
        </w:tc>
        <w:tc>
          <w:tcPr>
            <w:tcW w:w="1737" w:type="dxa"/>
            <w:noWrap/>
          </w:tcPr>
          <w:p w14:paraId="73C11A06" w14:textId="426A3133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18,31%</w:t>
            </w:r>
          </w:p>
        </w:tc>
        <w:tc>
          <w:tcPr>
            <w:tcW w:w="1736" w:type="dxa"/>
            <w:noWrap/>
          </w:tcPr>
          <w:p w14:paraId="52104427" w14:textId="7EEE393B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-9,38%</w:t>
            </w:r>
          </w:p>
        </w:tc>
        <w:tc>
          <w:tcPr>
            <w:tcW w:w="1737" w:type="dxa"/>
            <w:noWrap/>
          </w:tcPr>
          <w:p w14:paraId="55135C44" w14:textId="1416861F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2</w:t>
            </w:r>
          </w:p>
        </w:tc>
      </w:tr>
      <w:tr w:rsidR="0072042E" w:rsidRPr="00473A7D" w14:paraId="060C59A5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A1B58A9" w14:textId="3F240623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Banca Sella Holding</w:t>
            </w:r>
          </w:p>
        </w:tc>
        <w:tc>
          <w:tcPr>
            <w:tcW w:w="1736" w:type="dxa"/>
            <w:noWrap/>
          </w:tcPr>
          <w:p w14:paraId="26250F48" w14:textId="640C535D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7,06%</w:t>
            </w:r>
          </w:p>
        </w:tc>
        <w:tc>
          <w:tcPr>
            <w:tcW w:w="1737" w:type="dxa"/>
            <w:noWrap/>
          </w:tcPr>
          <w:p w14:paraId="76C8065C" w14:textId="47E71125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10,48%</w:t>
            </w:r>
          </w:p>
        </w:tc>
        <w:tc>
          <w:tcPr>
            <w:tcW w:w="1736" w:type="dxa"/>
            <w:noWrap/>
          </w:tcPr>
          <w:p w14:paraId="72A8E304" w14:textId="068983AC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-3,42%</w:t>
            </w:r>
          </w:p>
        </w:tc>
        <w:tc>
          <w:tcPr>
            <w:tcW w:w="1737" w:type="dxa"/>
            <w:noWrap/>
          </w:tcPr>
          <w:p w14:paraId="541A0A5C" w14:textId="648D1F0B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5</w:t>
            </w:r>
          </w:p>
        </w:tc>
      </w:tr>
      <w:tr w:rsidR="0072042E" w:rsidRPr="00473A7D" w14:paraId="612765CD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2D7C9D6" w14:textId="14ECE6BB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Invest Banca</w:t>
            </w:r>
          </w:p>
        </w:tc>
        <w:tc>
          <w:tcPr>
            <w:tcW w:w="1736" w:type="dxa"/>
            <w:noWrap/>
          </w:tcPr>
          <w:p w14:paraId="4B66E7BD" w14:textId="5F5C3F77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6,61%</w:t>
            </w:r>
          </w:p>
        </w:tc>
        <w:tc>
          <w:tcPr>
            <w:tcW w:w="1737" w:type="dxa"/>
            <w:noWrap/>
          </w:tcPr>
          <w:p w14:paraId="45D52510" w14:textId="70FBA686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4,89%</w:t>
            </w:r>
          </w:p>
        </w:tc>
        <w:tc>
          <w:tcPr>
            <w:tcW w:w="1736" w:type="dxa"/>
            <w:noWrap/>
          </w:tcPr>
          <w:p w14:paraId="1CFBA3C4" w14:textId="01304AE9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1,72%</w:t>
            </w:r>
          </w:p>
        </w:tc>
        <w:tc>
          <w:tcPr>
            <w:tcW w:w="1737" w:type="dxa"/>
            <w:noWrap/>
          </w:tcPr>
          <w:p w14:paraId="7CC65E95" w14:textId="34B6733C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7</w:t>
            </w:r>
          </w:p>
        </w:tc>
      </w:tr>
      <w:tr w:rsidR="0072042E" w:rsidRPr="00473A7D" w14:paraId="126CA322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F794410" w14:textId="566F8D2E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MPS Capital Services</w:t>
            </w:r>
          </w:p>
        </w:tc>
        <w:tc>
          <w:tcPr>
            <w:tcW w:w="1736" w:type="dxa"/>
            <w:noWrap/>
          </w:tcPr>
          <w:p w14:paraId="2A34E471" w14:textId="1087EE86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2,88%</w:t>
            </w:r>
          </w:p>
        </w:tc>
        <w:tc>
          <w:tcPr>
            <w:tcW w:w="1737" w:type="dxa"/>
            <w:noWrap/>
          </w:tcPr>
          <w:p w14:paraId="4A2C9998" w14:textId="49D64D84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1,47%</w:t>
            </w:r>
          </w:p>
        </w:tc>
        <w:tc>
          <w:tcPr>
            <w:tcW w:w="1736" w:type="dxa"/>
            <w:noWrap/>
          </w:tcPr>
          <w:p w14:paraId="2C0D2E31" w14:textId="3D689BB1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1,41%</w:t>
            </w:r>
          </w:p>
        </w:tc>
        <w:tc>
          <w:tcPr>
            <w:tcW w:w="1737" w:type="dxa"/>
            <w:noWrap/>
          </w:tcPr>
          <w:p w14:paraId="10B1DCB4" w14:textId="7129ADDD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8</w:t>
            </w:r>
          </w:p>
        </w:tc>
      </w:tr>
      <w:tr w:rsidR="0072042E" w:rsidRPr="00473A7D" w14:paraId="6CABCB7D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CBB1C9A" w14:textId="66FFEBF2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Finecobank</w:t>
            </w:r>
          </w:p>
        </w:tc>
        <w:tc>
          <w:tcPr>
            <w:tcW w:w="1736" w:type="dxa"/>
            <w:noWrap/>
          </w:tcPr>
          <w:p w14:paraId="61452433" w14:textId="030B9C14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1,96%</w:t>
            </w:r>
          </w:p>
        </w:tc>
        <w:tc>
          <w:tcPr>
            <w:tcW w:w="1737" w:type="dxa"/>
            <w:noWrap/>
          </w:tcPr>
          <w:p w14:paraId="348A93DE" w14:textId="6F6F53B9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0,79%</w:t>
            </w:r>
          </w:p>
        </w:tc>
        <w:tc>
          <w:tcPr>
            <w:tcW w:w="1736" w:type="dxa"/>
            <w:noWrap/>
          </w:tcPr>
          <w:p w14:paraId="43576F3C" w14:textId="1CEBE3B6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1,17%</w:t>
            </w:r>
          </w:p>
        </w:tc>
        <w:tc>
          <w:tcPr>
            <w:tcW w:w="1737" w:type="dxa"/>
            <w:noWrap/>
          </w:tcPr>
          <w:p w14:paraId="0C53247F" w14:textId="208B7F22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9</w:t>
            </w:r>
          </w:p>
        </w:tc>
      </w:tr>
      <w:tr w:rsidR="0072042E" w:rsidRPr="00473A7D" w14:paraId="6F094D65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5AA72D3" w14:textId="2298EFCE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Equita SIM</w:t>
            </w:r>
          </w:p>
        </w:tc>
        <w:tc>
          <w:tcPr>
            <w:tcW w:w="1736" w:type="dxa"/>
            <w:noWrap/>
          </w:tcPr>
          <w:p w14:paraId="4703B83B" w14:textId="60346B01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1,05%</w:t>
            </w:r>
          </w:p>
        </w:tc>
        <w:tc>
          <w:tcPr>
            <w:tcW w:w="1737" w:type="dxa"/>
            <w:noWrap/>
          </w:tcPr>
          <w:p w14:paraId="74BF9662" w14:textId="5259055B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36" w:type="dxa"/>
            <w:noWrap/>
          </w:tcPr>
          <w:p w14:paraId="74F91D77" w14:textId="55F9F5E8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1,05%</w:t>
            </w:r>
          </w:p>
        </w:tc>
        <w:tc>
          <w:tcPr>
            <w:tcW w:w="1737" w:type="dxa"/>
            <w:noWrap/>
          </w:tcPr>
          <w:p w14:paraId="13EC65C7" w14:textId="7FCBEB34" w:rsidR="0072042E" w:rsidRPr="00D3781F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2042E" w:rsidRPr="00473A7D" w14:paraId="23100001" w14:textId="77777777" w:rsidTr="0081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2EB0E2E" w14:textId="715B9860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Banca Intermobiliare</w:t>
            </w:r>
          </w:p>
        </w:tc>
        <w:tc>
          <w:tcPr>
            <w:tcW w:w="1736" w:type="dxa"/>
            <w:noWrap/>
          </w:tcPr>
          <w:p w14:paraId="1E8BE988" w14:textId="61F18592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0,09%</w:t>
            </w:r>
          </w:p>
        </w:tc>
        <w:tc>
          <w:tcPr>
            <w:tcW w:w="1737" w:type="dxa"/>
            <w:noWrap/>
          </w:tcPr>
          <w:p w14:paraId="788AD2AE" w14:textId="099E250F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0,06%</w:t>
            </w:r>
          </w:p>
        </w:tc>
        <w:tc>
          <w:tcPr>
            <w:tcW w:w="1736" w:type="dxa"/>
            <w:noWrap/>
          </w:tcPr>
          <w:p w14:paraId="00C159F9" w14:textId="13005CF6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0,03%</w:t>
            </w:r>
          </w:p>
        </w:tc>
        <w:tc>
          <w:tcPr>
            <w:tcW w:w="1737" w:type="dxa"/>
            <w:noWrap/>
          </w:tcPr>
          <w:p w14:paraId="14A54335" w14:textId="0FFAF8CD" w:rsidR="0072042E" w:rsidRPr="00D3781F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284C">
              <w:t>11</w:t>
            </w:r>
          </w:p>
        </w:tc>
      </w:tr>
      <w:tr w:rsidR="0072042E" w:rsidRPr="00473A7D" w14:paraId="705B4C59" w14:textId="77777777" w:rsidTr="00812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7DCEABC" w14:textId="2A278320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 xml:space="preserve">IwBank </w:t>
            </w:r>
          </w:p>
        </w:tc>
        <w:tc>
          <w:tcPr>
            <w:tcW w:w="1736" w:type="dxa"/>
            <w:noWrap/>
          </w:tcPr>
          <w:p w14:paraId="3126119E" w14:textId="48DE345F" w:rsidR="0072042E" w:rsidRPr="00473A7D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53284C">
              <w:t>0,08%</w:t>
            </w:r>
          </w:p>
        </w:tc>
        <w:tc>
          <w:tcPr>
            <w:tcW w:w="1737" w:type="dxa"/>
            <w:noWrap/>
          </w:tcPr>
          <w:p w14:paraId="1C7E97FE" w14:textId="0F8C00DF" w:rsidR="0072042E" w:rsidRPr="00473A7D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3284C">
              <w:t>0,18%</w:t>
            </w:r>
          </w:p>
        </w:tc>
        <w:tc>
          <w:tcPr>
            <w:tcW w:w="1736" w:type="dxa"/>
            <w:noWrap/>
          </w:tcPr>
          <w:p w14:paraId="3F99AA97" w14:textId="090A351F" w:rsidR="0072042E" w:rsidRPr="00473A7D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3284C">
              <w:t>-0,10%</w:t>
            </w:r>
          </w:p>
        </w:tc>
        <w:tc>
          <w:tcPr>
            <w:tcW w:w="1737" w:type="dxa"/>
            <w:noWrap/>
          </w:tcPr>
          <w:p w14:paraId="053228FE" w14:textId="67A48C06" w:rsidR="0072042E" w:rsidRPr="00473A7D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3284C">
              <w:t>10</w:t>
            </w:r>
          </w:p>
        </w:tc>
      </w:tr>
      <w:tr w:rsidR="0072042E" w:rsidRPr="00473A7D" w14:paraId="163D6E40" w14:textId="77777777" w:rsidTr="00180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98CD562" w14:textId="2E9CB100" w:rsidR="0072042E" w:rsidRPr="00D3781F" w:rsidRDefault="0072042E" w:rsidP="0072042E">
            <w:pPr>
              <w:rPr>
                <w:sz w:val="20"/>
                <w:szCs w:val="20"/>
              </w:rPr>
            </w:pPr>
            <w:r w:rsidRPr="0053284C">
              <w:t>Nuovi Investimenti SIM</w:t>
            </w:r>
          </w:p>
        </w:tc>
        <w:tc>
          <w:tcPr>
            <w:tcW w:w="1736" w:type="dxa"/>
            <w:noWrap/>
          </w:tcPr>
          <w:p w14:paraId="2AE315E7" w14:textId="4C3F1947" w:rsidR="0072042E" w:rsidRPr="00473A7D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53284C">
              <w:t>0,00%</w:t>
            </w:r>
          </w:p>
        </w:tc>
        <w:tc>
          <w:tcPr>
            <w:tcW w:w="1737" w:type="dxa"/>
            <w:noWrap/>
          </w:tcPr>
          <w:p w14:paraId="64CBF7C9" w14:textId="3C2F5B3C" w:rsidR="0072042E" w:rsidRPr="00473A7D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736" w:type="dxa"/>
            <w:noWrap/>
          </w:tcPr>
          <w:p w14:paraId="7FEDD50C" w14:textId="2BB98F30" w:rsidR="0072042E" w:rsidRPr="00473A7D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3284C">
              <w:t>0,00%</w:t>
            </w:r>
          </w:p>
        </w:tc>
        <w:tc>
          <w:tcPr>
            <w:tcW w:w="1737" w:type="dxa"/>
            <w:noWrap/>
          </w:tcPr>
          <w:p w14:paraId="6213374D" w14:textId="4D0B24FF" w:rsidR="0072042E" w:rsidRPr="00473A7D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</w:tr>
      <w:tr w:rsidR="000F2804" w:rsidRPr="00473A7D" w14:paraId="419CEA60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DBB4898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DCC3AA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44B1F6F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101B487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977524C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2181F68D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BD84AA1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B3CF96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2FAA2C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3A03D6A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560E6C4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29B98D27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1DC30C1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7471210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8CC143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EDEEBD4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909D83E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4CDB7DF9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E68E7B6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8E0317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8195841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F5B99B9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824F518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4CB4D6AE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B7C94A6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55F59F5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60AC195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5B11FBB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71B4863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28A2390C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09CAD72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5B6DF42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39FAF94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1FC158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491B1E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4C42039A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273519B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D0E95C1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393DD10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A948163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E346CE2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789D8B0F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B90FB32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01753F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FBC1AF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424192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FDA668F" w14:textId="77777777" w:rsidR="000F2804" w:rsidRPr="00473A7D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473A7D" w14:paraId="1D7267C2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EECBC41" w14:textId="77777777" w:rsidR="000F2804" w:rsidRPr="00D3781F" w:rsidRDefault="000F2804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AFEE28D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F462C5D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220D06A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FE84A2C" w14:textId="77777777" w:rsidR="000F2804" w:rsidRPr="00473A7D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042E" w:rsidRPr="00473A7D" w14:paraId="044750F1" w14:textId="77777777" w:rsidTr="00720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90334EC" w14:textId="77777777" w:rsidR="0072042E" w:rsidRPr="00D3781F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</w:tcPr>
          <w:p w14:paraId="1B122B76" w14:textId="0CAB58F0" w:rsidR="0072042E" w:rsidRPr="0072042E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 w:rsidRPr="0072042E">
              <w:rPr>
                <w:b/>
              </w:rPr>
              <w:t>100,00%</w:t>
            </w:r>
          </w:p>
        </w:tc>
        <w:tc>
          <w:tcPr>
            <w:tcW w:w="1737" w:type="dxa"/>
            <w:noWrap/>
          </w:tcPr>
          <w:p w14:paraId="231A0CA9" w14:textId="41B0F0AF" w:rsidR="0072042E" w:rsidRPr="0072042E" w:rsidRDefault="00711BC4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100,00</w:t>
            </w:r>
            <w:r w:rsidR="0072042E" w:rsidRPr="0072042E">
              <w:rPr>
                <w:b/>
              </w:rPr>
              <w:t>%</w:t>
            </w:r>
          </w:p>
        </w:tc>
        <w:tc>
          <w:tcPr>
            <w:tcW w:w="1736" w:type="dxa"/>
            <w:noWrap/>
          </w:tcPr>
          <w:p w14:paraId="39646B1D" w14:textId="77777777" w:rsidR="0072042E" w:rsidRPr="00473A7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C6E0875" w14:textId="77777777" w:rsidR="0072042E" w:rsidRPr="00473A7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EF8D843" w14:textId="77777777" w:rsidR="00C07DDA" w:rsidRPr="00473A7D" w:rsidRDefault="00C07DDA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473A7D" w14:paraId="120AD86F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B8D4A58" w14:textId="77777777" w:rsidR="00A635A4" w:rsidRPr="00473A7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266A012A" w14:textId="050E944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4BBB7103" w14:textId="31D0600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70EB683D" w14:textId="77777777" w:rsidR="00A635A4" w:rsidRPr="00473A7D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>Variazione</w:t>
            </w:r>
          </w:p>
        </w:tc>
      </w:tr>
      <w:tr w:rsidR="00D45D3C" w:rsidRPr="00473A7D" w14:paraId="27A2655C" w14:textId="77777777" w:rsidTr="00D4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51DDFEF" w14:textId="77777777" w:rsidR="00D45D3C" w:rsidRPr="00473A7D" w:rsidRDefault="00D45D3C" w:rsidP="00D45D3C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</w:tcPr>
          <w:p w14:paraId="2624A3D9" w14:textId="60EBEA86" w:rsidR="00D45D3C" w:rsidRPr="00D3781F" w:rsidRDefault="0072042E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3.737.066.294</w:t>
            </w:r>
          </w:p>
        </w:tc>
        <w:tc>
          <w:tcPr>
            <w:tcW w:w="2460" w:type="dxa"/>
          </w:tcPr>
          <w:p w14:paraId="66AE955F" w14:textId="3B624150" w:rsidR="00D45D3C" w:rsidRPr="00D3781F" w:rsidRDefault="0072042E" w:rsidP="00D45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5.120.499.024</w:t>
            </w:r>
          </w:p>
        </w:tc>
        <w:tc>
          <w:tcPr>
            <w:tcW w:w="2259" w:type="dxa"/>
          </w:tcPr>
          <w:p w14:paraId="52A539AC" w14:textId="4979F21F" w:rsidR="00D45D3C" w:rsidRPr="00D3781F" w:rsidRDefault="0072042E" w:rsidP="00D45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-27,02%</w:t>
            </w:r>
          </w:p>
        </w:tc>
      </w:tr>
      <w:tr w:rsidR="00D45D3C" w:rsidRPr="00473A7D" w14:paraId="5C33D4D2" w14:textId="77777777" w:rsidTr="00D45D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C174727" w14:textId="77777777" w:rsidR="00D45D3C" w:rsidRPr="00473A7D" w:rsidRDefault="00D45D3C" w:rsidP="00D45D3C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</w:tcPr>
          <w:p w14:paraId="441156A5" w14:textId="4FD1ACB6" w:rsidR="00D45D3C" w:rsidRPr="00D3781F" w:rsidRDefault="0072042E" w:rsidP="00D45D3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105.223</w:t>
            </w:r>
          </w:p>
        </w:tc>
        <w:tc>
          <w:tcPr>
            <w:tcW w:w="2460" w:type="dxa"/>
          </w:tcPr>
          <w:p w14:paraId="6835C99C" w14:textId="7E20751A" w:rsidR="00D45D3C" w:rsidRPr="00D3781F" w:rsidRDefault="0072042E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138.242</w:t>
            </w:r>
          </w:p>
        </w:tc>
        <w:tc>
          <w:tcPr>
            <w:tcW w:w="2259" w:type="dxa"/>
          </w:tcPr>
          <w:p w14:paraId="7284656C" w14:textId="547290DA" w:rsidR="00D45D3C" w:rsidRPr="00D3781F" w:rsidRDefault="0072042E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-23,88%</w:t>
            </w:r>
          </w:p>
        </w:tc>
      </w:tr>
      <w:tr w:rsidR="00D45D3C" w:rsidRPr="00473A7D" w14:paraId="786A7A31" w14:textId="77777777" w:rsidTr="00D4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B786E68" w14:textId="77777777" w:rsidR="00D45D3C" w:rsidRPr="00473A7D" w:rsidRDefault="00D45D3C" w:rsidP="00D45D3C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73A7D">
              <w:rPr>
                <w:sz w:val="20"/>
                <w:szCs w:val="20"/>
              </w:rPr>
              <w:t xml:space="preserve">Taglio medio </w:t>
            </w:r>
          </w:p>
        </w:tc>
        <w:tc>
          <w:tcPr>
            <w:tcW w:w="2192" w:type="dxa"/>
          </w:tcPr>
          <w:p w14:paraId="663057C2" w14:textId="454C113D" w:rsidR="00D45D3C" w:rsidRPr="00D3781F" w:rsidRDefault="0072042E" w:rsidP="00D45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35.516</w:t>
            </w:r>
          </w:p>
        </w:tc>
        <w:tc>
          <w:tcPr>
            <w:tcW w:w="2460" w:type="dxa"/>
          </w:tcPr>
          <w:p w14:paraId="67A38E5B" w14:textId="7AAD52CB" w:rsidR="00D45D3C" w:rsidRPr="00D3781F" w:rsidRDefault="0072042E" w:rsidP="00D45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37.041</w:t>
            </w:r>
          </w:p>
        </w:tc>
        <w:tc>
          <w:tcPr>
            <w:tcW w:w="2259" w:type="dxa"/>
          </w:tcPr>
          <w:p w14:paraId="089933F2" w14:textId="77777777" w:rsidR="00D45D3C" w:rsidRPr="00D3781F" w:rsidRDefault="00D45D3C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DE9B3E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1F673A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6C007F2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FFD7176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8F6653B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F964619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30C19B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243DD19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085CA8A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7B814C1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C011D6F" w14:textId="77777777" w:rsidR="00C07DDA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1D305B0" w14:textId="77777777" w:rsidR="007D12E2" w:rsidRPr="00B2004F" w:rsidRDefault="007D12E2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78E0D05" w14:textId="77777777" w:rsidR="00C07DDA" w:rsidRPr="00B2004F" w:rsidRDefault="00C07DDA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9AEA149" w14:textId="77777777" w:rsidR="000F2804" w:rsidRPr="00F858F3" w:rsidRDefault="000F2804" w:rsidP="000F2804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>
        <w:rPr>
          <w:color w:val="4F81BD" w:themeColor="accent1"/>
        </w:rPr>
        <w:lastRenderedPageBreak/>
        <w:t>EQUIDUCT:</w:t>
      </w:r>
      <w:r w:rsidRPr="00F858F3">
        <w:rPr>
          <w:color w:val="4F81BD" w:themeColor="accent1"/>
        </w:rPr>
        <w:t xml:space="preserve"> CONTROVALORI NEGOZIATI </w:t>
      </w:r>
      <w:r>
        <w:rPr>
          <w:color w:val="4F81BD" w:themeColor="accent1"/>
        </w:rPr>
        <w:t>CONTO TERZI (AZIONI ITALIANE)</w:t>
      </w:r>
    </w:p>
    <w:p w14:paraId="6B6E530C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61F35" w14:paraId="5EDF8004" w14:textId="77777777" w:rsidTr="000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274D1EC" w14:textId="77777777" w:rsidR="00A635A4" w:rsidRPr="00A61F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61F35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6A60733" w14:textId="6270736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A6F1FC6" w14:textId="686F7B0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5422BD27" w14:textId="6CDCA9D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06FAE9C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2B6837E" w14:textId="578A3BF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F86FA6" w:rsidRPr="00A61F35" w14:paraId="7C1E341F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F3F1469" w14:textId="695CF916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Banca Aletti</w:t>
            </w:r>
          </w:p>
        </w:tc>
        <w:tc>
          <w:tcPr>
            <w:tcW w:w="1736" w:type="dxa"/>
            <w:noWrap/>
          </w:tcPr>
          <w:p w14:paraId="71FEDCC1" w14:textId="2ECCBB5A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89,55%</w:t>
            </w:r>
          </w:p>
        </w:tc>
        <w:tc>
          <w:tcPr>
            <w:tcW w:w="1737" w:type="dxa"/>
            <w:noWrap/>
          </w:tcPr>
          <w:p w14:paraId="5967C56F" w14:textId="7F3C36EB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83,35%</w:t>
            </w:r>
          </w:p>
        </w:tc>
        <w:tc>
          <w:tcPr>
            <w:tcW w:w="1736" w:type="dxa"/>
            <w:noWrap/>
          </w:tcPr>
          <w:p w14:paraId="7D0E0DC2" w14:textId="4413E3A9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6,19%</w:t>
            </w:r>
          </w:p>
        </w:tc>
        <w:tc>
          <w:tcPr>
            <w:tcW w:w="1737" w:type="dxa"/>
            <w:noWrap/>
          </w:tcPr>
          <w:p w14:paraId="1F32D4E6" w14:textId="4A11A1D6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1</w:t>
            </w:r>
          </w:p>
        </w:tc>
      </w:tr>
      <w:tr w:rsidR="00F86FA6" w:rsidRPr="00A61F35" w14:paraId="5EE8D944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DC28EC9" w14:textId="217A679C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Banca Akros</w:t>
            </w:r>
          </w:p>
        </w:tc>
        <w:tc>
          <w:tcPr>
            <w:tcW w:w="1736" w:type="dxa"/>
            <w:noWrap/>
          </w:tcPr>
          <w:p w14:paraId="1BEC82DF" w14:textId="6FE58F7B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7,38%</w:t>
            </w:r>
          </w:p>
        </w:tc>
        <w:tc>
          <w:tcPr>
            <w:tcW w:w="1737" w:type="dxa"/>
            <w:noWrap/>
          </w:tcPr>
          <w:p w14:paraId="5B657449" w14:textId="54BE4A48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13,55%</w:t>
            </w:r>
          </w:p>
        </w:tc>
        <w:tc>
          <w:tcPr>
            <w:tcW w:w="1736" w:type="dxa"/>
            <w:noWrap/>
          </w:tcPr>
          <w:p w14:paraId="5E2AF51A" w14:textId="23349BE0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-6,18%</w:t>
            </w:r>
          </w:p>
        </w:tc>
        <w:tc>
          <w:tcPr>
            <w:tcW w:w="1737" w:type="dxa"/>
            <w:noWrap/>
          </w:tcPr>
          <w:p w14:paraId="3109C575" w14:textId="344CB38C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2</w:t>
            </w:r>
          </w:p>
        </w:tc>
      </w:tr>
      <w:tr w:rsidR="00F86FA6" w:rsidRPr="00A61F35" w14:paraId="72CD1616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5E3F5A6" w14:textId="7D90CD29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Merrill Lynch</w:t>
            </w:r>
          </w:p>
        </w:tc>
        <w:tc>
          <w:tcPr>
            <w:tcW w:w="1736" w:type="dxa"/>
            <w:noWrap/>
          </w:tcPr>
          <w:p w14:paraId="3553A305" w14:textId="371B8CCA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3,08%</w:t>
            </w:r>
          </w:p>
        </w:tc>
        <w:tc>
          <w:tcPr>
            <w:tcW w:w="1737" w:type="dxa"/>
            <w:noWrap/>
          </w:tcPr>
          <w:p w14:paraId="64A1B5C1" w14:textId="36F4F4A1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3,09%</w:t>
            </w:r>
          </w:p>
        </w:tc>
        <w:tc>
          <w:tcPr>
            <w:tcW w:w="1736" w:type="dxa"/>
            <w:noWrap/>
          </w:tcPr>
          <w:p w14:paraId="2AC69D22" w14:textId="6E5996C2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-0,02%</w:t>
            </w:r>
          </w:p>
        </w:tc>
        <w:tc>
          <w:tcPr>
            <w:tcW w:w="1737" w:type="dxa"/>
            <w:noWrap/>
          </w:tcPr>
          <w:p w14:paraId="2086EA09" w14:textId="7DF97B3F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3</w:t>
            </w:r>
          </w:p>
        </w:tc>
      </w:tr>
      <w:tr w:rsidR="000F2804" w:rsidRPr="00A61F35" w14:paraId="79013808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0D53A63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F2DAD20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577134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9EA3CC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FE7CA8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255976E9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ECF869D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6C0AAE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DE2804A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56070DF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FD6FA9E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041DD993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43397B1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A4F535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03D1C20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36CEAA4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4726874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6B838455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8308F0F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9ECDDD5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F0714BD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DB360C3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940B55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005DB21F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F78A385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225FBDC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63BF8E5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5C83818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1CAE75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2BFB07E3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5870D3B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9134C3A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60335A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99EB4D8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88CC8AA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62FC7BD0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86A590B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2E6E313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EA20ED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A203E20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1FC3150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1E50272C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B26CBC8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A647CBD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C124AA2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C5F8E0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9E982EA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37DCF5F8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3FB8680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6382DD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A0321F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BAFC74C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7D8826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1E9EE7E4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2D4EE9B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DD27D09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F139C1B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E58AFD8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B5ECB03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7BBB4802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132D956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6C8AB55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61B5B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E852583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FD127F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20171843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AC66591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335ACC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52F05E6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8020E76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F1B0C4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03FDD7BA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10A79A3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9E93E00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3FC7366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E3CB0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F07D25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1D81EDB0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C49A19C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FC9A97F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786673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FF003F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8B9731D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36602A66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C883DB9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1B4B24E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C293AD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C34882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C18D8C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6C6049F5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2474C2B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41E18B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7655C2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CC4B928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20030E3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513958AF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5021F82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7FA074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43B875D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AC4D321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BE45263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3B998918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00C1EAC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C0171F2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7D1301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F4EC8C9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C797C11" w14:textId="77777777" w:rsidR="000F2804" w:rsidRPr="00A61F35" w:rsidRDefault="000F2804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F2804" w:rsidRPr="00A61F35" w14:paraId="2B7DB137" w14:textId="77777777" w:rsidTr="00FF3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C2D2D4C" w14:textId="77777777" w:rsidR="000F2804" w:rsidRPr="00FF33B3" w:rsidRDefault="000F2804" w:rsidP="00FF33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C2F6C57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25C1422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17D1D9E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7E5F1E5" w14:textId="77777777" w:rsidR="000F2804" w:rsidRPr="00A61F35" w:rsidRDefault="000F2804" w:rsidP="000F2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2804" w:rsidRPr="00A61F35" w14:paraId="4C6832F9" w14:textId="77777777" w:rsidTr="00FF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004485A" w14:textId="77777777" w:rsidR="000F2804" w:rsidRPr="00FF33B3" w:rsidRDefault="000F2804" w:rsidP="00FF33B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FF33B3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center"/>
          </w:tcPr>
          <w:p w14:paraId="0F584F1C" w14:textId="35FE0592" w:rsidR="000F2804" w:rsidRPr="00FF33B3" w:rsidRDefault="0011011B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7" w:type="dxa"/>
            <w:noWrap/>
            <w:vAlign w:val="center"/>
          </w:tcPr>
          <w:p w14:paraId="49DF914E" w14:textId="490A6701" w:rsidR="000F2804" w:rsidRPr="00FF33B3" w:rsidRDefault="0011011B" w:rsidP="000F2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36" w:type="dxa"/>
            <w:noWrap/>
          </w:tcPr>
          <w:p w14:paraId="20D636A7" w14:textId="77777777" w:rsidR="000F2804" w:rsidRPr="00A61F35" w:rsidRDefault="000F2804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4FB6BEC" w14:textId="77777777" w:rsidR="000F2804" w:rsidRPr="00A61F35" w:rsidRDefault="000F2804" w:rsidP="000F280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478460F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AF18EC" w14:paraId="4A6C2724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52491DB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totali del</w:t>
            </w:r>
            <w:r w:rsidRPr="00AF18EC">
              <w:rPr>
                <w:sz w:val="20"/>
                <w:szCs w:val="20"/>
              </w:rPr>
              <w:t xml:space="preserve"> Mercato</w:t>
            </w:r>
          </w:p>
        </w:tc>
        <w:tc>
          <w:tcPr>
            <w:tcW w:w="2192" w:type="dxa"/>
            <w:vAlign w:val="center"/>
            <w:hideMark/>
          </w:tcPr>
          <w:p w14:paraId="06FC4153" w14:textId="2A34FAA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662BA90" w14:textId="07B5EE70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649BDCA2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Variazione</w:t>
            </w:r>
          </w:p>
        </w:tc>
      </w:tr>
      <w:tr w:rsidR="00F86FA6" w:rsidRPr="00AF18EC" w14:paraId="0305F2D9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2266652" w14:textId="77777777" w:rsidR="00F86FA6" w:rsidRPr="008A346D" w:rsidRDefault="00F86FA6" w:rsidP="00F86FA6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46D">
              <w:rPr>
                <w:sz w:val="20"/>
                <w:szCs w:val="20"/>
              </w:rPr>
              <w:t>Controvalori c/terzi</w:t>
            </w:r>
          </w:p>
        </w:tc>
        <w:tc>
          <w:tcPr>
            <w:tcW w:w="2192" w:type="dxa"/>
          </w:tcPr>
          <w:p w14:paraId="06303441" w14:textId="04456DE3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3.473.340.433</w:t>
            </w:r>
          </w:p>
        </w:tc>
        <w:tc>
          <w:tcPr>
            <w:tcW w:w="2460" w:type="dxa"/>
            <w:vAlign w:val="center"/>
          </w:tcPr>
          <w:p w14:paraId="02515AA3" w14:textId="65E1784D" w:rsidR="00F86FA6" w:rsidRPr="007841BD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3.857.659.865</w:t>
            </w:r>
          </w:p>
        </w:tc>
        <w:tc>
          <w:tcPr>
            <w:tcW w:w="2259" w:type="dxa"/>
            <w:vAlign w:val="bottom"/>
          </w:tcPr>
          <w:p w14:paraId="060EDB76" w14:textId="22C9BDD0" w:rsidR="00F86FA6" w:rsidRPr="007841BD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-9,96%</w:t>
            </w:r>
          </w:p>
        </w:tc>
      </w:tr>
      <w:tr w:rsidR="00F86FA6" w:rsidRPr="00AF18EC" w14:paraId="539CAF27" w14:textId="77777777" w:rsidTr="00B8673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642230D" w14:textId="77777777" w:rsidR="00F86FA6" w:rsidRPr="008A346D" w:rsidRDefault="00F86FA6" w:rsidP="00F86FA6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46D">
              <w:rPr>
                <w:sz w:val="20"/>
                <w:szCs w:val="20"/>
              </w:rPr>
              <w:t>Operazioni c/terzi</w:t>
            </w:r>
          </w:p>
        </w:tc>
        <w:tc>
          <w:tcPr>
            <w:tcW w:w="2192" w:type="dxa"/>
          </w:tcPr>
          <w:p w14:paraId="0247651A" w14:textId="76955C54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301.816</w:t>
            </w:r>
          </w:p>
        </w:tc>
        <w:tc>
          <w:tcPr>
            <w:tcW w:w="2460" w:type="dxa"/>
            <w:vAlign w:val="center"/>
          </w:tcPr>
          <w:p w14:paraId="07FE3C92" w14:textId="15D11B82" w:rsidR="00F86FA6" w:rsidRPr="007841BD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353.512</w:t>
            </w:r>
          </w:p>
        </w:tc>
        <w:tc>
          <w:tcPr>
            <w:tcW w:w="2259" w:type="dxa"/>
            <w:vAlign w:val="bottom"/>
          </w:tcPr>
          <w:p w14:paraId="3F665376" w14:textId="30838F62" w:rsidR="00F86FA6" w:rsidRPr="007841BD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-14,62%</w:t>
            </w:r>
          </w:p>
        </w:tc>
      </w:tr>
      <w:tr w:rsidR="00F86FA6" w:rsidRPr="00AF18EC" w14:paraId="61B34337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CF8515F" w14:textId="77777777" w:rsidR="00F86FA6" w:rsidRPr="00A43A45" w:rsidRDefault="00F86FA6" w:rsidP="00F86FA6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Taglio medio </w:t>
            </w:r>
          </w:p>
        </w:tc>
        <w:tc>
          <w:tcPr>
            <w:tcW w:w="2192" w:type="dxa"/>
          </w:tcPr>
          <w:p w14:paraId="1D567A10" w14:textId="5B03EB90" w:rsidR="00F86FA6" w:rsidRPr="00F86FA6" w:rsidRDefault="00F86FA6" w:rsidP="00F86FA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11.508</w:t>
            </w:r>
          </w:p>
        </w:tc>
        <w:tc>
          <w:tcPr>
            <w:tcW w:w="2460" w:type="dxa"/>
            <w:vAlign w:val="center"/>
          </w:tcPr>
          <w:p w14:paraId="19957568" w14:textId="12191588" w:rsidR="00F86FA6" w:rsidRPr="007841BD" w:rsidRDefault="00F86FA6" w:rsidP="00F86FA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10.912</w:t>
            </w:r>
          </w:p>
        </w:tc>
        <w:tc>
          <w:tcPr>
            <w:tcW w:w="2259" w:type="dxa"/>
            <w:vAlign w:val="center"/>
          </w:tcPr>
          <w:p w14:paraId="15C5D619" w14:textId="43F41D7B" w:rsidR="00F86FA6" w:rsidRPr="007841BD" w:rsidRDefault="00F86FA6" w:rsidP="00F86FA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5266F6B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E8D3EEE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BB3E8E2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FF9F753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3920119" w14:textId="77777777" w:rsidR="00B2004F" w:rsidRDefault="00B2004F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340DCAC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A5E7BFD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5C77A04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0A0D4E2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5138518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E5BCE4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08C4DA2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18B1712" w14:textId="77777777" w:rsidR="007D12E2" w:rsidRDefault="007D12E2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000D180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A71EBAC" w14:textId="77777777" w:rsidR="00E16918" w:rsidRDefault="00E16918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F6B0CF5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8DD0D4A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3539425" w14:textId="77777777" w:rsidR="005E79B6" w:rsidRPr="00AF18EC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867151F" w14:textId="77777777" w:rsidR="005E79B6" w:rsidRPr="00AF18EC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5A2439E" w14:textId="77777777" w:rsidR="005E79B6" w:rsidRPr="00AF18EC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D08D9E4" w14:textId="77777777" w:rsidR="005E79B6" w:rsidRPr="00AF18EC" w:rsidRDefault="005E79B6" w:rsidP="005E79B6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ALLEGATO </w:t>
      </w:r>
      <w:r>
        <w:rPr>
          <w:b/>
          <w:bCs/>
          <w:color w:val="4F81BD" w:themeColor="accent1"/>
          <w:sz w:val="36"/>
          <w:szCs w:val="36"/>
        </w:rPr>
        <w:t>2</w:t>
      </w:r>
    </w:p>
    <w:p w14:paraId="379BE355" w14:textId="77777777" w:rsidR="005E79B6" w:rsidRPr="00AF18EC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26D161B" w14:textId="77777777" w:rsidR="005E79B6" w:rsidRPr="00AF18EC" w:rsidRDefault="005E79B6" w:rsidP="005E79B6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CLASSIFICHE CONTROVALORI NEGOZIATI CONTO </w:t>
      </w:r>
      <w:r>
        <w:rPr>
          <w:b/>
          <w:bCs/>
          <w:color w:val="4F81BD" w:themeColor="accent1"/>
          <w:sz w:val="36"/>
          <w:szCs w:val="36"/>
        </w:rPr>
        <w:t>PRORPIO</w:t>
      </w:r>
      <w:r w:rsidRPr="00AF18EC">
        <w:rPr>
          <w:b/>
          <w:bCs/>
          <w:color w:val="4F81BD" w:themeColor="accent1"/>
          <w:sz w:val="36"/>
          <w:szCs w:val="36"/>
        </w:rPr>
        <w:t xml:space="preserve"> </w:t>
      </w:r>
    </w:p>
    <w:p w14:paraId="5DF60F08" w14:textId="77777777" w:rsidR="005E79B6" w:rsidRPr="00AF18EC" w:rsidRDefault="005E79B6" w:rsidP="005E79B6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>BORSA ITALIANA</w:t>
      </w:r>
    </w:p>
    <w:p w14:paraId="43AB7E3F" w14:textId="77777777" w:rsidR="000966D1" w:rsidRPr="00335EE8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24"/>
          <w:szCs w:val="24"/>
        </w:rPr>
        <w:t>MTA: Azioni diurne, Diritti</w:t>
      </w:r>
    </w:p>
    <w:p w14:paraId="251716A6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 w:rsidRPr="00335EE8">
        <w:rPr>
          <w:b/>
          <w:bCs/>
          <w:color w:val="4F81BD" w:themeColor="accent1"/>
          <w:sz w:val="24"/>
          <w:szCs w:val="24"/>
        </w:rPr>
        <w:t>DOMESTICMOT</w:t>
      </w:r>
      <w:r>
        <w:rPr>
          <w:b/>
          <w:bCs/>
          <w:color w:val="4F81BD" w:themeColor="accent1"/>
          <w:sz w:val="24"/>
          <w:szCs w:val="24"/>
        </w:rPr>
        <w:t>: Titoli di Stato, Obbligazioni DomesticMOT</w:t>
      </w:r>
    </w:p>
    <w:p w14:paraId="01CC9708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EUROMOT: Obbligazioni EuroMOT</w:t>
      </w:r>
    </w:p>
    <w:p w14:paraId="20CAAE47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EXTRAMOT: Obbligazioni ExtraMOT</w:t>
      </w:r>
    </w:p>
    <w:p w14:paraId="1A8C9F42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SEDEX: </w:t>
      </w:r>
      <w:r w:rsidRPr="00335EE8">
        <w:rPr>
          <w:b/>
          <w:bCs/>
          <w:color w:val="4F81BD" w:themeColor="accent1"/>
          <w:sz w:val="24"/>
          <w:szCs w:val="24"/>
        </w:rPr>
        <w:t>Securitised Derivatives</w:t>
      </w:r>
    </w:p>
    <w:p w14:paraId="1FC659B5" w14:textId="77777777" w:rsidR="000966D1" w:rsidRPr="00335EE8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ETFPLUS: ETP</w:t>
      </w:r>
    </w:p>
    <w:p w14:paraId="176C271C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FUTURES SU INDICE</w:t>
      </w:r>
    </w:p>
    <w:p w14:paraId="2B25130C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MINI FUTURES SU INDICE</w:t>
      </w:r>
    </w:p>
    <w:p w14:paraId="48587DD7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INDICE</w:t>
      </w:r>
    </w:p>
    <w:p w14:paraId="05E069B7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AZIONI</w:t>
      </w:r>
    </w:p>
    <w:p w14:paraId="0D444556" w14:textId="77777777" w:rsidR="006D18E7" w:rsidRPr="00335EE8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FUTURES SU AZIONI </w:t>
      </w:r>
    </w:p>
    <w:p w14:paraId="0F249C08" w14:textId="77777777" w:rsidR="005E79B6" w:rsidRPr="00AF18EC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A82A3B2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0CE8D66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136291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5B9065A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63594F1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09FD11F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E26577E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F776AF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390DF6D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7D86038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2F0157D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F7551C0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2CDF776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29B32FF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7004544" w14:textId="77777777" w:rsidR="005E79B6" w:rsidRDefault="005E79B6" w:rsidP="005E79B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06E1971" w14:textId="4EE603D0" w:rsidR="005E79B6" w:rsidRPr="003F2949" w:rsidRDefault="005E79B6" w:rsidP="00E16918">
      <w:pPr>
        <w:tabs>
          <w:tab w:val="left" w:pos="2340"/>
        </w:tabs>
        <w:spacing w:before="240"/>
        <w:jc w:val="both"/>
      </w:pPr>
      <w:r w:rsidRPr="003F2949">
        <w:t xml:space="preserve">Nota metodologica: Le classifiche sono elaborate sulla base dei controvalori degli strumenti finanziari negoziati in conto </w:t>
      </w:r>
      <w:r w:rsidR="00820BAE" w:rsidRPr="003F2949">
        <w:t xml:space="preserve">proprio </w:t>
      </w:r>
      <w:r w:rsidRPr="003F2949">
        <w:t>dagli intermediari Associati sui mercati sopra riportati.</w:t>
      </w:r>
      <w:r w:rsidR="00820BAE" w:rsidRPr="003F2949">
        <w:t xml:space="preserve"> Gli intermediari che partecipano ai mercati gestiti da EUROTLX SIM, HI MTF SIM ed EQUIDUCT non hanno autorizzato la pubblicazione della loro operatività in conto proprio. </w:t>
      </w:r>
    </w:p>
    <w:p w14:paraId="4AD2F8CA" w14:textId="77777777" w:rsidR="005E79B6" w:rsidRDefault="005E79B6" w:rsidP="005E79B6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>BORSA ITALIANA: MTA</w:t>
      </w:r>
      <w:r>
        <w:rPr>
          <w:color w:val="4F81BD" w:themeColor="accent1"/>
        </w:rPr>
        <w:t xml:space="preserve">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1A9F3739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4F1EB0" w14:paraId="56D0B61F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9165760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922FDA1" w14:textId="7D6C506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E68D7B6" w14:textId="6706A8E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728533C" w14:textId="17D91E8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6553F67F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3EDD9CAF" w14:textId="6124494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72042E" w:rsidRPr="004F1EB0" w14:paraId="0DC0C673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E7A738" w14:textId="320A8715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1506CEA9" w14:textId="58ECF975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9,44%</w:t>
            </w:r>
          </w:p>
        </w:tc>
        <w:tc>
          <w:tcPr>
            <w:tcW w:w="1737" w:type="dxa"/>
            <w:noWrap/>
            <w:vAlign w:val="bottom"/>
          </w:tcPr>
          <w:p w14:paraId="4132EF87" w14:textId="162AECA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8,29%</w:t>
            </w:r>
          </w:p>
        </w:tc>
        <w:tc>
          <w:tcPr>
            <w:tcW w:w="1736" w:type="dxa"/>
            <w:noWrap/>
            <w:vAlign w:val="bottom"/>
          </w:tcPr>
          <w:p w14:paraId="5A1BE87B" w14:textId="07C477E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7" w:type="dxa"/>
            <w:noWrap/>
            <w:vAlign w:val="bottom"/>
          </w:tcPr>
          <w:p w14:paraId="7BB299BC" w14:textId="173911E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2042E" w:rsidRPr="004F1EB0" w14:paraId="2C237A9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89D4B6" w14:textId="037129E9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3DB22707" w14:textId="2761725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4,82%</w:t>
            </w:r>
          </w:p>
        </w:tc>
        <w:tc>
          <w:tcPr>
            <w:tcW w:w="1737" w:type="dxa"/>
            <w:noWrap/>
            <w:vAlign w:val="bottom"/>
          </w:tcPr>
          <w:p w14:paraId="76901A5F" w14:textId="606C2AE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5,24%</w:t>
            </w:r>
          </w:p>
        </w:tc>
        <w:tc>
          <w:tcPr>
            <w:tcW w:w="1736" w:type="dxa"/>
            <w:noWrap/>
            <w:vAlign w:val="bottom"/>
          </w:tcPr>
          <w:p w14:paraId="11509EC2" w14:textId="30B6BBB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-0,42%</w:t>
            </w:r>
          </w:p>
        </w:tc>
        <w:tc>
          <w:tcPr>
            <w:tcW w:w="1737" w:type="dxa"/>
            <w:noWrap/>
            <w:vAlign w:val="bottom"/>
          </w:tcPr>
          <w:p w14:paraId="5CE72FD9" w14:textId="6D4BD5C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2042E" w:rsidRPr="004F1EB0" w14:paraId="1CA6346D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22B5C4" w14:textId="1155615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16A401EA" w14:textId="138491B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3,41%</w:t>
            </w:r>
          </w:p>
        </w:tc>
        <w:tc>
          <w:tcPr>
            <w:tcW w:w="1737" w:type="dxa"/>
            <w:noWrap/>
            <w:vAlign w:val="bottom"/>
          </w:tcPr>
          <w:p w14:paraId="2CEA1C17" w14:textId="5FD7C38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1,22%</w:t>
            </w:r>
          </w:p>
        </w:tc>
        <w:tc>
          <w:tcPr>
            <w:tcW w:w="1736" w:type="dxa"/>
            <w:noWrap/>
            <w:vAlign w:val="bottom"/>
          </w:tcPr>
          <w:p w14:paraId="2C446D08" w14:textId="73759B1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2,19%</w:t>
            </w:r>
          </w:p>
        </w:tc>
        <w:tc>
          <w:tcPr>
            <w:tcW w:w="1737" w:type="dxa"/>
            <w:noWrap/>
            <w:vAlign w:val="bottom"/>
          </w:tcPr>
          <w:p w14:paraId="58179B1B" w14:textId="01CAA06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2042E" w:rsidRPr="004F1EB0" w14:paraId="33D4CBF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F35F65E" w14:textId="5578AFB0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439338A" w14:textId="11F8E116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3,34%</w:t>
            </w:r>
          </w:p>
        </w:tc>
        <w:tc>
          <w:tcPr>
            <w:tcW w:w="1737" w:type="dxa"/>
            <w:noWrap/>
            <w:vAlign w:val="bottom"/>
          </w:tcPr>
          <w:p w14:paraId="617B023B" w14:textId="13DFD3E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9,84%</w:t>
            </w:r>
          </w:p>
        </w:tc>
        <w:tc>
          <w:tcPr>
            <w:tcW w:w="1736" w:type="dxa"/>
            <w:noWrap/>
            <w:vAlign w:val="bottom"/>
          </w:tcPr>
          <w:p w14:paraId="47118E1D" w14:textId="0CD1D0C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-6,50%</w:t>
            </w:r>
          </w:p>
        </w:tc>
        <w:tc>
          <w:tcPr>
            <w:tcW w:w="1737" w:type="dxa"/>
            <w:noWrap/>
            <w:vAlign w:val="bottom"/>
          </w:tcPr>
          <w:p w14:paraId="0785D1F8" w14:textId="684396D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2042E" w:rsidRPr="004F1EB0" w14:paraId="5895B37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A2B242" w14:textId="03FFB96A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4D9D3F6E" w14:textId="0478C72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1737" w:type="dxa"/>
            <w:noWrap/>
            <w:vAlign w:val="bottom"/>
          </w:tcPr>
          <w:p w14:paraId="2497344E" w14:textId="287D5DD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3,71%</w:t>
            </w:r>
          </w:p>
        </w:tc>
        <w:tc>
          <w:tcPr>
            <w:tcW w:w="1736" w:type="dxa"/>
            <w:noWrap/>
            <w:vAlign w:val="bottom"/>
          </w:tcPr>
          <w:p w14:paraId="57BE69E7" w14:textId="6C84E04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-0,93%</w:t>
            </w:r>
          </w:p>
        </w:tc>
        <w:tc>
          <w:tcPr>
            <w:tcW w:w="1737" w:type="dxa"/>
            <w:noWrap/>
            <w:vAlign w:val="bottom"/>
          </w:tcPr>
          <w:p w14:paraId="3EF1AD64" w14:textId="409E182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2042E" w:rsidRPr="004F1EB0" w14:paraId="5C2AD8A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11AEED" w14:textId="0C1282B1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7B706866" w14:textId="3D2C7BF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2,35%</w:t>
            </w:r>
          </w:p>
        </w:tc>
        <w:tc>
          <w:tcPr>
            <w:tcW w:w="1737" w:type="dxa"/>
            <w:noWrap/>
            <w:vAlign w:val="bottom"/>
          </w:tcPr>
          <w:p w14:paraId="22621B01" w14:textId="6E9BBCD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6" w:type="dxa"/>
            <w:noWrap/>
            <w:vAlign w:val="bottom"/>
          </w:tcPr>
          <w:p w14:paraId="28B2A8D7" w14:textId="67A9753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1,72%</w:t>
            </w:r>
          </w:p>
        </w:tc>
        <w:tc>
          <w:tcPr>
            <w:tcW w:w="1737" w:type="dxa"/>
            <w:noWrap/>
            <w:vAlign w:val="bottom"/>
          </w:tcPr>
          <w:p w14:paraId="690411C6" w14:textId="6B021CB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2042E" w:rsidRPr="004F1EB0" w14:paraId="03E7ABD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C77FCC" w14:textId="4B155820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6A7EA739" w14:textId="0CE298F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0,93%</w:t>
            </w:r>
          </w:p>
        </w:tc>
        <w:tc>
          <w:tcPr>
            <w:tcW w:w="1737" w:type="dxa"/>
            <w:noWrap/>
            <w:vAlign w:val="bottom"/>
          </w:tcPr>
          <w:p w14:paraId="17E22820" w14:textId="6C1337A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6" w:type="dxa"/>
            <w:noWrap/>
            <w:vAlign w:val="bottom"/>
          </w:tcPr>
          <w:p w14:paraId="5A2A151C" w14:textId="384B38D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7" w:type="dxa"/>
            <w:noWrap/>
            <w:vAlign w:val="bottom"/>
          </w:tcPr>
          <w:p w14:paraId="1B78C9F0" w14:textId="38D17AD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2042E" w:rsidRPr="004F1EB0" w14:paraId="025D080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B84506" w14:textId="57622394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5D3CE2ED" w14:textId="6AFBDBAD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03DA7F95" w14:textId="5B275FCD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6" w:type="dxa"/>
            <w:noWrap/>
            <w:vAlign w:val="bottom"/>
          </w:tcPr>
          <w:p w14:paraId="705D36AA" w14:textId="1093214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43071929" w14:textId="77715B0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2042E" w:rsidRPr="004F1EB0" w14:paraId="0B7DCBD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0A7925" w14:textId="52BE8731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AD6508B" w14:textId="725546A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2ADCB5A5" w14:textId="4C855FE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6" w:type="dxa"/>
            <w:noWrap/>
            <w:vAlign w:val="bottom"/>
          </w:tcPr>
          <w:p w14:paraId="703149EA" w14:textId="33BDAAF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2DED8115" w14:textId="0E5585F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2042E" w:rsidRPr="004F1EB0" w14:paraId="6E2B27EA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0195F9" w14:textId="0201880A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7BE36B5D" w14:textId="0FCC8E4D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5E9ABD01" w14:textId="357BC8F6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6" w:type="dxa"/>
            <w:noWrap/>
            <w:vAlign w:val="bottom"/>
          </w:tcPr>
          <w:p w14:paraId="7151B0B1" w14:textId="68D95D8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-0,15%</w:t>
            </w:r>
          </w:p>
        </w:tc>
        <w:tc>
          <w:tcPr>
            <w:tcW w:w="1737" w:type="dxa"/>
            <w:noWrap/>
            <w:vAlign w:val="bottom"/>
          </w:tcPr>
          <w:p w14:paraId="65F474A1" w14:textId="75E708C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2042E" w:rsidRPr="004F1EB0" w14:paraId="3FF300F5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A73DA3" w14:textId="3B4854E5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2F452FC" w14:textId="60ED9B3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42204CF0" w14:textId="1669B9B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6" w:type="dxa"/>
            <w:noWrap/>
            <w:vAlign w:val="bottom"/>
          </w:tcPr>
          <w:p w14:paraId="6C346049" w14:textId="7106AF04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305ECD34" w14:textId="2875313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2042E" w:rsidRPr="004F1EB0" w14:paraId="49BFA43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789244" w14:textId="32EE52D1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4901DAE" w14:textId="7BEBE01B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57CF9A64" w14:textId="2301774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5262C3AC" w14:textId="0A48AD7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31F9730E" w14:textId="21327DB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2042E" w:rsidRPr="004F1EB0" w14:paraId="2D3C139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0AF046" w14:textId="290D17F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6B08CAA" w14:textId="765D33B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2E112A6E" w14:textId="7095331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6" w:type="dxa"/>
            <w:noWrap/>
            <w:vAlign w:val="bottom"/>
          </w:tcPr>
          <w:p w14:paraId="63957B2D" w14:textId="26D6DEB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78A3568B" w14:textId="1C29E93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2042E" w:rsidRPr="004F1EB0" w14:paraId="54D930E4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C8AD38" w14:textId="0EE4D6AC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1AA38FA" w14:textId="7C0C495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0A589D93" w14:textId="7E668C08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04A1C036" w14:textId="3F1711C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C5786BF" w14:textId="7312F24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2042E" w:rsidRPr="004F1EB0" w14:paraId="037DD0D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357D10" w14:textId="38E4D9C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E0B874F" w14:textId="3E84187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5B52B9E3" w14:textId="6CAC41C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0FB231A7" w14:textId="276495B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22794A2" w14:textId="58D02AE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2042E" w:rsidRPr="004F1EB0" w14:paraId="2EAEAE7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C16E3F" w14:textId="450BAEB3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3AF2BD1" w14:textId="6C39D26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230F554" w14:textId="0148CCC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4B40497E" w14:textId="60E4936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7C504687" w14:textId="3BF6ED1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2042E" w:rsidRPr="004F1EB0" w14:paraId="36384CDC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68DE94" w14:textId="0AF1A203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82FC68F" w14:textId="72E0F1B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BE119E9" w14:textId="3AA665F4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05AC082B" w14:textId="1CA2255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3C20B4D" w14:textId="13807E4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2042E" w:rsidRPr="004F1EB0" w14:paraId="7EEDC14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E95D21" w14:textId="43798904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1BA68039" w14:textId="288A37C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D91DE40" w14:textId="598A47D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40082B65" w14:textId="28F2398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14759BFC" w14:textId="6F95BBA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2042E" w:rsidRPr="004F1EB0" w14:paraId="6604C8E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1D8E01" w14:textId="5E4C8D58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2DD668C" w14:textId="39D7521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2B3ECD1" w14:textId="1475367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B90E43F" w14:textId="6FB8361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09101F4" w14:textId="09002B0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2042E" w:rsidRPr="004F1EB0" w14:paraId="4DD575E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9C28E6" w14:textId="667EC1F8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61D9D75E" w14:textId="27E4238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D282CDA" w14:textId="7634DDF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94DA321" w14:textId="653455B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277ED41" w14:textId="23C88F5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2042E" w:rsidRPr="004F1EB0" w14:paraId="75E7913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1A28D2" w14:textId="6030CCB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39CC659" w14:textId="4B2B1BF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07217CE" w14:textId="4FDDB4F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407FAA6" w14:textId="0775465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2790B7" w14:textId="39178DA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2042E" w:rsidRPr="004F1EB0" w14:paraId="25EEDA5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BB2241" w14:textId="57A24603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591DFCD7" w14:textId="0764D51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79AD27" w14:textId="424F410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CF4A455" w14:textId="757D639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05131C2" w14:textId="6662290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2042E" w:rsidRPr="004F1EB0" w14:paraId="3088F55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73BD110" w14:textId="5ECC48D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2CD04441" w14:textId="5E13E18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CD74B9A" w14:textId="3BC1094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A7C328D" w14:textId="778E034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AC42BD" w14:textId="1E2142E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2042E" w:rsidRPr="004F1EB0" w14:paraId="73D3656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392303" w14:textId="7D10EFC8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800EF19" w14:textId="0DCBD7A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6E17716" w14:textId="601BD44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2A25B24" w14:textId="26ABF97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98F26E2" w14:textId="2E8D46B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2042E" w:rsidRPr="004F1EB0" w14:paraId="2A993D65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E6CF5B" w14:textId="7CDF563C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4AD97EC" w14:textId="1EFC47F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2AA059D" w14:textId="4F62890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FA61973" w14:textId="1230B74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22B1A35" w14:textId="71F2F1E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2042E" w:rsidRPr="004F1EB0" w14:paraId="203B601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D512DF" w14:textId="103835F1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041E448" w14:textId="577A296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ADF6DE1" w14:textId="04933FD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88734C5" w14:textId="2005ED4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6002FED" w14:textId="1E6BCD0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2042E" w:rsidRPr="004F1EB0" w14:paraId="5CD72CE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E1B5F6" w14:textId="28A4528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0E0E57EA" w14:textId="42FF544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74F72AA" w14:textId="5851AB1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DEEC89D" w14:textId="501E90F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C92F53E" w14:textId="3FAD13C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2042E" w:rsidRPr="004F1EB0" w14:paraId="1FB20DE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E38565" w14:textId="3D815162" w:rsidR="0072042E" w:rsidRPr="009F7456" w:rsidRDefault="0072042E" w:rsidP="0072042E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48152DA" w14:textId="1B7FE11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05442E6" w14:textId="2C99989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B9732E5" w14:textId="4F3C123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2883DA7" w14:textId="6F70A37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9C4" w:rsidRPr="004F1EB0" w14:paraId="5241DF0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CD2A46" w14:textId="0B75340A" w:rsidR="006369C4" w:rsidRPr="009F7456" w:rsidRDefault="006369C4" w:rsidP="006369C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5DB657F" w14:textId="7736C6CA" w:rsidR="006369C4" w:rsidRPr="009F7456" w:rsidRDefault="006369C4" w:rsidP="0063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CD1771A" w14:textId="0FF9A4DF" w:rsidR="006369C4" w:rsidRPr="009F7456" w:rsidRDefault="006369C4" w:rsidP="0063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AD3029A" w14:textId="3A4BFB6F" w:rsidR="006369C4" w:rsidRPr="009F7456" w:rsidRDefault="006369C4" w:rsidP="0063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C17A5D7" w14:textId="251BE5CF" w:rsidR="006369C4" w:rsidRPr="009F7456" w:rsidRDefault="006369C4" w:rsidP="0063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45D3C" w:rsidRPr="004F1EB0" w14:paraId="6A9067F7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416ED88" w14:textId="77777777" w:rsidR="00D45D3C" w:rsidRPr="004F1EB0" w:rsidRDefault="00D45D3C" w:rsidP="00D45D3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EA36541" w14:textId="10482462" w:rsidR="00D45D3C" w:rsidRPr="004F1EB0" w:rsidRDefault="00D45D3C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D704934" w14:textId="5A552A64" w:rsidR="00D45D3C" w:rsidRPr="004F1EB0" w:rsidRDefault="00D45D3C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7B51A84" w14:textId="77777777" w:rsidR="00D45D3C" w:rsidRPr="004F1EB0" w:rsidRDefault="00D45D3C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9C736DB" w14:textId="77777777" w:rsidR="00D45D3C" w:rsidRPr="004F1EB0" w:rsidRDefault="00D45D3C" w:rsidP="00D4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79B6" w:rsidRPr="004F1EB0" w14:paraId="2B039522" w14:textId="77777777" w:rsidTr="009F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0F16B09" w14:textId="77777777" w:rsidR="005E79B6" w:rsidRPr="004F1EB0" w:rsidRDefault="005E79B6" w:rsidP="009F7456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A41F3A" w14:textId="77777777" w:rsidR="005E79B6" w:rsidRPr="004F1EB0" w:rsidRDefault="005E79B6" w:rsidP="009F745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B4E9737" w14:textId="77777777" w:rsidR="005E79B6" w:rsidRPr="004F1EB0" w:rsidRDefault="005E79B6" w:rsidP="009F745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10BD3BA" w14:textId="77777777" w:rsidR="005E79B6" w:rsidRPr="004F1EB0" w:rsidRDefault="005E79B6" w:rsidP="009F745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DC649A2" w14:textId="77777777" w:rsidR="005E79B6" w:rsidRPr="004F1EB0" w:rsidRDefault="005E79B6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042E" w:rsidRPr="004F1EB0" w14:paraId="35D92466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37D058E" w14:textId="77777777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E4AE803" w14:textId="500EE2E1" w:rsidR="0072042E" w:rsidRPr="00D45D3C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29,13%</w:t>
            </w:r>
          </w:p>
        </w:tc>
        <w:tc>
          <w:tcPr>
            <w:tcW w:w="1737" w:type="dxa"/>
            <w:noWrap/>
            <w:vAlign w:val="bottom"/>
          </w:tcPr>
          <w:p w14:paraId="0AB38340" w14:textId="6622BB3C" w:rsidR="0072042E" w:rsidRPr="00D45D3C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31,67%</w:t>
            </w:r>
          </w:p>
        </w:tc>
        <w:tc>
          <w:tcPr>
            <w:tcW w:w="1736" w:type="dxa"/>
            <w:noWrap/>
          </w:tcPr>
          <w:p w14:paraId="23BEDEA8" w14:textId="511619D3" w:rsidR="0072042E" w:rsidRPr="004F1EB0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C70938B" w14:textId="77777777" w:rsidR="0072042E" w:rsidRPr="004F1EB0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6561BEB" w14:textId="77777777" w:rsidR="000F2804" w:rsidRPr="004F1EB0" w:rsidRDefault="000F2804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4F1EB0" w14:paraId="51BE65D1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079EF6C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30E2CF0A" w14:textId="71DB3AA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82D6D15" w14:textId="7CEC7DC6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72042E" w:rsidRPr="004F1EB0" w14:paraId="168E5B3A" w14:textId="77777777" w:rsidTr="009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054DCB1" w14:textId="0EA95956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Quota prime cinque Associate</w:t>
            </w:r>
          </w:p>
        </w:tc>
        <w:tc>
          <w:tcPr>
            <w:tcW w:w="3969" w:type="dxa"/>
            <w:vAlign w:val="bottom"/>
          </w:tcPr>
          <w:p w14:paraId="22A33D02" w14:textId="3E4254CA" w:rsidR="0072042E" w:rsidRPr="00835FC7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23,79%</w:t>
            </w:r>
          </w:p>
        </w:tc>
        <w:tc>
          <w:tcPr>
            <w:tcW w:w="2977" w:type="dxa"/>
            <w:vAlign w:val="bottom"/>
          </w:tcPr>
          <w:p w14:paraId="6B682CDF" w14:textId="11BBAB2B" w:rsidR="0072042E" w:rsidRPr="00835FC7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28,29%</w:t>
            </w:r>
          </w:p>
        </w:tc>
      </w:tr>
      <w:tr w:rsidR="0072042E" w:rsidRPr="004F1EB0" w14:paraId="5F492881" w14:textId="77777777" w:rsidTr="00973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E4E8F6B" w14:textId="4601C344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56E0E36C" w14:textId="67A245AB" w:rsidR="0072042E" w:rsidRPr="00835FC7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28,42%</w:t>
            </w:r>
          </w:p>
        </w:tc>
        <w:tc>
          <w:tcPr>
            <w:tcW w:w="2977" w:type="dxa"/>
            <w:vAlign w:val="bottom"/>
          </w:tcPr>
          <w:p w14:paraId="0C818147" w14:textId="5757A209" w:rsidR="0072042E" w:rsidRPr="00835FC7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31,03%</w:t>
            </w:r>
          </w:p>
        </w:tc>
      </w:tr>
    </w:tbl>
    <w:p w14:paraId="14A3C10C" w14:textId="77777777" w:rsidR="000F2804" w:rsidRPr="004F1EB0" w:rsidRDefault="000F2804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4F1EB0" w14:paraId="1C905AD0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9319737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2E82F91D" w14:textId="67BAD81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719BA918" w14:textId="025AA277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7BB2FC92" w14:textId="77777777" w:rsidR="00A635A4" w:rsidRPr="004F1EB0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Variazione</w:t>
            </w:r>
          </w:p>
        </w:tc>
      </w:tr>
      <w:tr w:rsidR="0072042E" w:rsidRPr="004F1EB0" w14:paraId="51CB2BF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8F89515" w14:textId="77777777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237C3753" w14:textId="3DAF8A83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426.030.744.194</w:t>
            </w:r>
          </w:p>
        </w:tc>
        <w:tc>
          <w:tcPr>
            <w:tcW w:w="2460" w:type="dxa"/>
            <w:vAlign w:val="bottom"/>
          </w:tcPr>
          <w:p w14:paraId="6F6325D2" w14:textId="12619617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429.641.775.681</w:t>
            </w:r>
          </w:p>
        </w:tc>
        <w:tc>
          <w:tcPr>
            <w:tcW w:w="2259" w:type="dxa"/>
            <w:vAlign w:val="bottom"/>
          </w:tcPr>
          <w:p w14:paraId="49AECBBF" w14:textId="44C7A34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-0,84%</w:t>
            </w:r>
          </w:p>
        </w:tc>
      </w:tr>
      <w:tr w:rsidR="0072042E" w:rsidRPr="004F1EB0" w14:paraId="51F927EF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A616FF3" w14:textId="0AA3A01E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0710AE59" w14:textId="39D0D4F5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44.432.934</w:t>
            </w:r>
          </w:p>
        </w:tc>
        <w:tc>
          <w:tcPr>
            <w:tcW w:w="2460" w:type="dxa"/>
            <w:vAlign w:val="bottom"/>
          </w:tcPr>
          <w:p w14:paraId="25FD438E" w14:textId="1B868AE1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44.851.543</w:t>
            </w:r>
          </w:p>
        </w:tc>
        <w:tc>
          <w:tcPr>
            <w:tcW w:w="2259" w:type="dxa"/>
            <w:vAlign w:val="bottom"/>
          </w:tcPr>
          <w:p w14:paraId="00157369" w14:textId="138AA558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-0,93%</w:t>
            </w:r>
          </w:p>
        </w:tc>
      </w:tr>
      <w:tr w:rsidR="0072042E" w:rsidRPr="004F1EB0" w14:paraId="2E38157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E7DDCC8" w14:textId="77777777" w:rsidR="0072042E" w:rsidRPr="004F1EB0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4F1EB0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D8BCDC8" w14:textId="48F5DF02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9.588</w:t>
            </w:r>
          </w:p>
        </w:tc>
        <w:tc>
          <w:tcPr>
            <w:tcW w:w="2460" w:type="dxa"/>
            <w:vAlign w:val="bottom"/>
          </w:tcPr>
          <w:p w14:paraId="1762456E" w14:textId="1B7938DA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9.579</w:t>
            </w:r>
          </w:p>
        </w:tc>
        <w:tc>
          <w:tcPr>
            <w:tcW w:w="2259" w:type="dxa"/>
            <w:vAlign w:val="bottom"/>
          </w:tcPr>
          <w:p w14:paraId="300E4349" w14:textId="77777777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89B8CA8" w14:textId="060A6618" w:rsidR="005E79B6" w:rsidRDefault="005E79B6" w:rsidP="005E79B6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 w:rsidR="00CC100E">
        <w:rPr>
          <w:color w:val="4F81BD" w:themeColor="accent1"/>
        </w:rPr>
        <w:t>DOMESTICMOT</w:t>
      </w:r>
      <w:r>
        <w:rPr>
          <w:color w:val="4F81BD" w:themeColor="accent1"/>
        </w:rPr>
        <w:t xml:space="preserve">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426FE57E" w14:textId="77777777" w:rsidR="000F2804" w:rsidRDefault="000F280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2F1F2D" w14:paraId="1A54F2A9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59C3F228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D2DCB23" w14:textId="2F477AD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0D6D90D" w14:textId="6CBE1F7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7D51B1AB" w14:textId="4FD7436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31521AF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6CC653E" w14:textId="6CBA0D7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72042E" w:rsidRPr="002F1F2D" w14:paraId="2E46709C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7EE100A" w14:textId="7897695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2EA36E3" w14:textId="63B133F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17,67%</w:t>
            </w:r>
          </w:p>
        </w:tc>
        <w:tc>
          <w:tcPr>
            <w:tcW w:w="1737" w:type="dxa"/>
            <w:noWrap/>
            <w:vAlign w:val="bottom"/>
          </w:tcPr>
          <w:p w14:paraId="3E48617B" w14:textId="2023E3F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14,40%</w:t>
            </w:r>
          </w:p>
        </w:tc>
        <w:tc>
          <w:tcPr>
            <w:tcW w:w="1736" w:type="dxa"/>
            <w:noWrap/>
            <w:vAlign w:val="bottom"/>
          </w:tcPr>
          <w:p w14:paraId="79D07C4E" w14:textId="1BECAAD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3,27%</w:t>
            </w:r>
          </w:p>
        </w:tc>
        <w:tc>
          <w:tcPr>
            <w:tcW w:w="1737" w:type="dxa"/>
            <w:noWrap/>
            <w:vAlign w:val="bottom"/>
          </w:tcPr>
          <w:p w14:paraId="4E3DA742" w14:textId="61637BA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2042E" w:rsidRPr="002F1F2D" w14:paraId="66E024B8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5ADE25" w14:textId="408ADB28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3C092A9A" w14:textId="2A06573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10,07%</w:t>
            </w:r>
          </w:p>
        </w:tc>
        <w:tc>
          <w:tcPr>
            <w:tcW w:w="1737" w:type="dxa"/>
            <w:noWrap/>
            <w:vAlign w:val="bottom"/>
          </w:tcPr>
          <w:p w14:paraId="46B424C5" w14:textId="504B951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4,05%</w:t>
            </w:r>
          </w:p>
        </w:tc>
        <w:tc>
          <w:tcPr>
            <w:tcW w:w="1736" w:type="dxa"/>
            <w:noWrap/>
            <w:vAlign w:val="bottom"/>
          </w:tcPr>
          <w:p w14:paraId="07F376B5" w14:textId="7EA4811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6,02%</w:t>
            </w:r>
          </w:p>
        </w:tc>
        <w:tc>
          <w:tcPr>
            <w:tcW w:w="1737" w:type="dxa"/>
            <w:noWrap/>
            <w:vAlign w:val="bottom"/>
          </w:tcPr>
          <w:p w14:paraId="221DA8C4" w14:textId="07F8CCA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2042E" w:rsidRPr="002F1F2D" w14:paraId="3EA597E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ED858E" w14:textId="6ED0348D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62962D8" w14:textId="447CF82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7,51%</w:t>
            </w:r>
          </w:p>
        </w:tc>
        <w:tc>
          <w:tcPr>
            <w:tcW w:w="1737" w:type="dxa"/>
            <w:noWrap/>
            <w:vAlign w:val="bottom"/>
          </w:tcPr>
          <w:p w14:paraId="4CC1AC2B" w14:textId="09492F5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9,05%</w:t>
            </w:r>
          </w:p>
        </w:tc>
        <w:tc>
          <w:tcPr>
            <w:tcW w:w="1736" w:type="dxa"/>
            <w:noWrap/>
            <w:vAlign w:val="bottom"/>
          </w:tcPr>
          <w:p w14:paraId="3CF6D433" w14:textId="57A8D18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-1,53%</w:t>
            </w:r>
          </w:p>
        </w:tc>
        <w:tc>
          <w:tcPr>
            <w:tcW w:w="1737" w:type="dxa"/>
            <w:noWrap/>
            <w:vAlign w:val="bottom"/>
          </w:tcPr>
          <w:p w14:paraId="6437758D" w14:textId="027BDEA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2042E" w:rsidRPr="002F1F2D" w14:paraId="508CAF78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C2935F" w14:textId="65184FC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509CA4C3" w14:textId="70B97336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5,45%</w:t>
            </w:r>
          </w:p>
        </w:tc>
        <w:tc>
          <w:tcPr>
            <w:tcW w:w="1737" w:type="dxa"/>
            <w:noWrap/>
            <w:vAlign w:val="bottom"/>
          </w:tcPr>
          <w:p w14:paraId="2469B36B" w14:textId="1585E15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6,98%</w:t>
            </w:r>
          </w:p>
        </w:tc>
        <w:tc>
          <w:tcPr>
            <w:tcW w:w="1736" w:type="dxa"/>
            <w:noWrap/>
            <w:vAlign w:val="bottom"/>
          </w:tcPr>
          <w:p w14:paraId="0614DCE7" w14:textId="4C23ABA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-1,53%</w:t>
            </w:r>
          </w:p>
        </w:tc>
        <w:tc>
          <w:tcPr>
            <w:tcW w:w="1737" w:type="dxa"/>
            <w:noWrap/>
            <w:vAlign w:val="bottom"/>
          </w:tcPr>
          <w:p w14:paraId="696B32E7" w14:textId="0F7C79E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2042E" w:rsidRPr="002F1F2D" w14:paraId="6A9BD08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34697B" w14:textId="355DB67D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35BF7A30" w14:textId="672EA0E4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3,56%</w:t>
            </w:r>
          </w:p>
        </w:tc>
        <w:tc>
          <w:tcPr>
            <w:tcW w:w="1737" w:type="dxa"/>
            <w:noWrap/>
            <w:vAlign w:val="bottom"/>
          </w:tcPr>
          <w:p w14:paraId="0DBF4980" w14:textId="02DF2F9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3,75%</w:t>
            </w:r>
          </w:p>
        </w:tc>
        <w:tc>
          <w:tcPr>
            <w:tcW w:w="1736" w:type="dxa"/>
            <w:noWrap/>
            <w:vAlign w:val="bottom"/>
          </w:tcPr>
          <w:p w14:paraId="7E73609A" w14:textId="473232E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2B4E017D" w14:textId="6BD7FA2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2042E" w:rsidRPr="002F1F2D" w14:paraId="4DF43B31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9BCD1E" w14:textId="57A55F8C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218DE53" w14:textId="7E4F578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2,02%</w:t>
            </w:r>
          </w:p>
        </w:tc>
        <w:tc>
          <w:tcPr>
            <w:tcW w:w="1737" w:type="dxa"/>
            <w:noWrap/>
            <w:vAlign w:val="bottom"/>
          </w:tcPr>
          <w:p w14:paraId="1F15FBAF" w14:textId="44DE7FF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6" w:type="dxa"/>
            <w:noWrap/>
            <w:vAlign w:val="bottom"/>
          </w:tcPr>
          <w:p w14:paraId="296520C6" w14:textId="26DFBBA3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1,93%</w:t>
            </w:r>
          </w:p>
        </w:tc>
        <w:tc>
          <w:tcPr>
            <w:tcW w:w="1737" w:type="dxa"/>
            <w:noWrap/>
            <w:vAlign w:val="bottom"/>
          </w:tcPr>
          <w:p w14:paraId="27A70840" w14:textId="702E29B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2042E" w:rsidRPr="002F1F2D" w14:paraId="06F457C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8FACA1" w14:textId="36023E19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BDE708E" w14:textId="0F1513F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1,93%</w:t>
            </w:r>
          </w:p>
        </w:tc>
        <w:tc>
          <w:tcPr>
            <w:tcW w:w="1737" w:type="dxa"/>
            <w:noWrap/>
            <w:vAlign w:val="bottom"/>
          </w:tcPr>
          <w:p w14:paraId="1F90F026" w14:textId="36AC684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1,90%</w:t>
            </w:r>
          </w:p>
        </w:tc>
        <w:tc>
          <w:tcPr>
            <w:tcW w:w="1736" w:type="dxa"/>
            <w:noWrap/>
            <w:vAlign w:val="bottom"/>
          </w:tcPr>
          <w:p w14:paraId="16599F53" w14:textId="0F29AC2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741EB81" w14:textId="4CBD789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2042E" w:rsidRPr="002F1F2D" w14:paraId="71018F8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D7612D" w14:textId="1BC8AD80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6FB7E1EC" w14:textId="7CB4BD2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1,62%</w:t>
            </w:r>
          </w:p>
        </w:tc>
        <w:tc>
          <w:tcPr>
            <w:tcW w:w="1737" w:type="dxa"/>
            <w:noWrap/>
            <w:vAlign w:val="bottom"/>
          </w:tcPr>
          <w:p w14:paraId="7C630E1F" w14:textId="3CC936BE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2,69%</w:t>
            </w:r>
          </w:p>
        </w:tc>
        <w:tc>
          <w:tcPr>
            <w:tcW w:w="1736" w:type="dxa"/>
            <w:noWrap/>
            <w:vAlign w:val="bottom"/>
          </w:tcPr>
          <w:p w14:paraId="7F21B0F8" w14:textId="0E45EC1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-1,07%</w:t>
            </w:r>
          </w:p>
        </w:tc>
        <w:tc>
          <w:tcPr>
            <w:tcW w:w="1737" w:type="dxa"/>
            <w:noWrap/>
            <w:vAlign w:val="bottom"/>
          </w:tcPr>
          <w:p w14:paraId="4A8F2815" w14:textId="2B7E283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2042E" w:rsidRPr="002F1F2D" w14:paraId="6E65826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ED4A4C" w14:textId="21DA5A65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1482E70" w14:textId="50CA8AF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0,93%</w:t>
            </w:r>
          </w:p>
        </w:tc>
        <w:tc>
          <w:tcPr>
            <w:tcW w:w="1737" w:type="dxa"/>
            <w:noWrap/>
            <w:vAlign w:val="bottom"/>
          </w:tcPr>
          <w:p w14:paraId="692A3695" w14:textId="0541068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0,79%</w:t>
            </w:r>
          </w:p>
        </w:tc>
        <w:tc>
          <w:tcPr>
            <w:tcW w:w="1736" w:type="dxa"/>
            <w:noWrap/>
            <w:vAlign w:val="bottom"/>
          </w:tcPr>
          <w:p w14:paraId="137CDF4D" w14:textId="2AA38397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388F5966" w14:textId="5DFC13F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2042E" w:rsidRPr="002F1F2D" w14:paraId="07B991F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747CBC2" w14:textId="2A95E775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860A985" w14:textId="53DD445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1F541734" w14:textId="6A940A28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4,06%</w:t>
            </w:r>
          </w:p>
        </w:tc>
        <w:tc>
          <w:tcPr>
            <w:tcW w:w="1736" w:type="dxa"/>
            <w:noWrap/>
            <w:vAlign w:val="bottom"/>
          </w:tcPr>
          <w:p w14:paraId="780AEF18" w14:textId="4C569C16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-3,53%</w:t>
            </w:r>
          </w:p>
        </w:tc>
        <w:tc>
          <w:tcPr>
            <w:tcW w:w="1737" w:type="dxa"/>
            <w:noWrap/>
            <w:vAlign w:val="bottom"/>
          </w:tcPr>
          <w:p w14:paraId="56835751" w14:textId="31AEE5FD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2042E" w:rsidRPr="002F1F2D" w14:paraId="247B6A3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21C53C" w14:textId="1DB9E744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2B988F73" w14:textId="7FE9D2B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16C403F9" w14:textId="4845034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6" w:type="dxa"/>
            <w:noWrap/>
            <w:vAlign w:val="bottom"/>
          </w:tcPr>
          <w:p w14:paraId="78D92F16" w14:textId="1A9C9EE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3EF051B5" w14:textId="0589D0E7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2042E" w:rsidRPr="002F1F2D" w14:paraId="0017948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A5A0AF" w14:textId="131FE97D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6122CF8" w14:textId="4A4D236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4254064D" w14:textId="0C53C25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6" w:type="dxa"/>
            <w:noWrap/>
            <w:vAlign w:val="bottom"/>
          </w:tcPr>
          <w:p w14:paraId="2C829A81" w14:textId="0454607A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296E1B3C" w14:textId="3405D10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2042E" w:rsidRPr="002F1F2D" w14:paraId="5AD91DB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A8EC30" w14:textId="5E30056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Leonardo</w:t>
            </w:r>
          </w:p>
        </w:tc>
        <w:tc>
          <w:tcPr>
            <w:tcW w:w="1736" w:type="dxa"/>
            <w:noWrap/>
            <w:vAlign w:val="bottom"/>
          </w:tcPr>
          <w:p w14:paraId="2279A051" w14:textId="734C2BC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2F08115A" w14:textId="4C38C96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6" w:type="dxa"/>
            <w:noWrap/>
            <w:vAlign w:val="bottom"/>
          </w:tcPr>
          <w:p w14:paraId="638E7FF0" w14:textId="3992AF1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6CCEF6A6" w14:textId="4B549E5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2042E" w:rsidRPr="002F1F2D" w14:paraId="5243423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54CB9E" w14:textId="514E7DA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0E144EB5" w14:textId="466DE43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3C1C3538" w14:textId="00D8DCD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2132796A" w14:textId="1A9CC2D4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868A9B5" w14:textId="0AEB04A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2042E" w:rsidRPr="002F1F2D" w14:paraId="736154F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4F4FE7" w14:textId="751D49A6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72B945A7" w14:textId="7F9F4D7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48B217DF" w14:textId="1D6CB77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734A97C1" w14:textId="6EC6F7DD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FACCDD6" w14:textId="621FDCDC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2042E" w:rsidRPr="002F1F2D" w14:paraId="1F29C99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0694B3" w14:textId="7B68BC42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F837DC1" w14:textId="7C0B3618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27C3026" w14:textId="55273C5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150163E" w14:textId="5D41C42B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08722CB5" w14:textId="3F0F902B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2042E" w:rsidRPr="002F1F2D" w14:paraId="4DDAE97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2845CF" w14:textId="531AA6B3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210ACB67" w14:textId="4079FC24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3629E08C" w14:textId="22CAC62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7F982230" w14:textId="581F735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0A6488A5" w14:textId="4997E56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2042E" w:rsidRPr="002F1F2D" w14:paraId="11E8F918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3C98E2" w14:textId="6347BD36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49C1F795" w14:textId="5232ADF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143F508" w14:textId="7D47AA8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6" w:type="dxa"/>
            <w:noWrap/>
            <w:vAlign w:val="bottom"/>
          </w:tcPr>
          <w:p w14:paraId="171C0EF2" w14:textId="4166BF4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-0,18%</w:t>
            </w:r>
          </w:p>
        </w:tc>
        <w:tc>
          <w:tcPr>
            <w:tcW w:w="1737" w:type="dxa"/>
            <w:noWrap/>
            <w:vAlign w:val="bottom"/>
          </w:tcPr>
          <w:p w14:paraId="2A7627FE" w14:textId="1DC61CA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2042E" w:rsidRPr="002F1F2D" w14:paraId="107DEE5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1A8BB93" w14:textId="5447170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130D689" w14:textId="464B3CE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9A32155" w14:textId="4F6BA60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242925F" w14:textId="6FCD6B60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0EF60DD9" w14:textId="369D4659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2042E" w:rsidRPr="002F1F2D" w14:paraId="32FCC2E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2C3A8B" w14:textId="4AA0A391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DCECB47" w14:textId="0FAFC65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1592209" w14:textId="6559018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737B726E" w14:textId="229D4110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1E1EAE2" w14:textId="05D5B731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2042E" w:rsidRPr="002F1F2D" w14:paraId="5584135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5CF14B5" w14:textId="72E18500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145A1AFB" w14:textId="50B845A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FC9BDA3" w14:textId="48555D8E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97D07BB" w14:textId="0DF2DF6A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C9E71E4" w14:textId="39719C48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2042E" w:rsidRPr="002F1F2D" w14:paraId="36400920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E5DBF3" w14:textId="56854787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7B33C4BA" w14:textId="5215E9E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0F1068" w14:textId="2DBBE17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8F50A92" w14:textId="1BC49CAC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A363FF" w14:textId="60BB262F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2042E" w:rsidRPr="002F1F2D" w14:paraId="2C51668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AAE225" w14:textId="06B4BFA8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Ersel SIM</w:t>
            </w:r>
          </w:p>
        </w:tc>
        <w:tc>
          <w:tcPr>
            <w:tcW w:w="1736" w:type="dxa"/>
            <w:noWrap/>
            <w:vAlign w:val="bottom"/>
          </w:tcPr>
          <w:p w14:paraId="23B29742" w14:textId="5F2936B1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5619572" w14:textId="4B241A03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BAF016A" w14:textId="4306CCA4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3D638E4" w14:textId="76E58A77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2042E" w:rsidRPr="002F1F2D" w14:paraId="7A9A1954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D84CB9" w14:textId="5EFDDDB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0A0427B5" w14:textId="4C303B5B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C73FDB4" w14:textId="7161E58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8D8D002" w14:textId="53AF5338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0B0D2F6" w14:textId="081869D5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2042E" w:rsidRPr="002F1F2D" w14:paraId="4F07BBF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CAB649" w14:textId="2BA0C5BB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6FBFD147" w14:textId="51CE56FF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CCC8AED" w14:textId="73EC5A1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DFA82EF" w14:textId="4D48FBF2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E7DE6B0" w14:textId="03F659CB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2042E" w:rsidRPr="002F1F2D" w14:paraId="243A6AC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C1C365" w14:textId="1CDF8349" w:rsidR="0072042E" w:rsidRPr="009F7456" w:rsidRDefault="0072042E" w:rsidP="007204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271F866" w14:textId="45BC4662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9531A86" w14:textId="62E506A6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42D6CBC" w14:textId="073D017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DB141E9" w14:textId="4A6E3967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2042E" w:rsidRPr="002F1F2D" w14:paraId="29C71A9A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01F13AE" w14:textId="7B6B1862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342EDAC" w14:textId="35C288A4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9A4DC3D" w14:textId="3267089F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4A1FAA1" w14:textId="329E17D6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518F6F7" w14:textId="2E594AFA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5FDE35B1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6545A9D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251C9D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3C79C3D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BC18488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A065455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5D659EB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ABEA808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F4127DA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1A2B414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9E353F6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118BF0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7C60488D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E871320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EF56607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757E53F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2027F66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4DE39E8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341257DD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4CC502C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2C60B4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A86C67D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F796EDF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09F231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042E" w:rsidRPr="002F1F2D" w14:paraId="2EC3068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EC194B3" w14:textId="77777777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3726195" w14:textId="6760CE0E" w:rsidR="0072042E" w:rsidRPr="00D45D3C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51,97%</w:t>
            </w:r>
          </w:p>
        </w:tc>
        <w:tc>
          <w:tcPr>
            <w:tcW w:w="1737" w:type="dxa"/>
            <w:noWrap/>
            <w:vAlign w:val="bottom"/>
          </w:tcPr>
          <w:p w14:paraId="761660B3" w14:textId="07CDE600" w:rsidR="0072042E" w:rsidRPr="00D45D3C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49,14%</w:t>
            </w:r>
          </w:p>
        </w:tc>
        <w:tc>
          <w:tcPr>
            <w:tcW w:w="1736" w:type="dxa"/>
            <w:noWrap/>
          </w:tcPr>
          <w:p w14:paraId="5388AF7B" w14:textId="0BCC7682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DC0F6A6" w14:textId="77777777" w:rsidR="0072042E" w:rsidRPr="002F1F2D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ADE9382" w14:textId="77777777" w:rsidR="00CC100E" w:rsidRPr="002F1F2D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2F1F2D" w14:paraId="45FB103F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7CD9E9F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64AFCAC" w14:textId="433F3369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45CC3431" w14:textId="3474872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72042E" w:rsidRPr="002F1F2D" w14:paraId="51496305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BAB0F90" w14:textId="619E929E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C80D682" w14:textId="4F57FA8F" w:rsidR="0072042E" w:rsidRPr="00835FC7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44,26%</w:t>
            </w:r>
          </w:p>
        </w:tc>
        <w:tc>
          <w:tcPr>
            <w:tcW w:w="2977" w:type="dxa"/>
            <w:vAlign w:val="bottom"/>
          </w:tcPr>
          <w:p w14:paraId="75B23933" w14:textId="7D342B3E" w:rsidR="0072042E" w:rsidRPr="00835FC7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38,54%</w:t>
            </w:r>
          </w:p>
        </w:tc>
      </w:tr>
      <w:tr w:rsidR="0072042E" w:rsidRPr="002F1F2D" w14:paraId="56656F53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7689CA6" w14:textId="3E12F622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534E3A03" w14:textId="556BEDEC" w:rsidR="0072042E" w:rsidRPr="00835FC7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51,28%</w:t>
            </w:r>
          </w:p>
        </w:tc>
        <w:tc>
          <w:tcPr>
            <w:tcW w:w="2977" w:type="dxa"/>
            <w:vAlign w:val="bottom"/>
          </w:tcPr>
          <w:p w14:paraId="7B145748" w14:textId="28934F14" w:rsidR="0072042E" w:rsidRPr="00835FC7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48,18%</w:t>
            </w:r>
          </w:p>
        </w:tc>
      </w:tr>
    </w:tbl>
    <w:p w14:paraId="0C6C9AE6" w14:textId="77777777" w:rsidR="00CC100E" w:rsidRPr="002F1F2D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2F1F2D" w14:paraId="68A882C5" w14:textId="77777777" w:rsidTr="003A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D7F1191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ED1C15D" w14:textId="221FE006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5FF3F6E2" w14:textId="6897E3AA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2D531DBC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Variazione</w:t>
            </w:r>
          </w:p>
        </w:tc>
      </w:tr>
      <w:tr w:rsidR="0072042E" w:rsidRPr="002F1F2D" w14:paraId="0D670CD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3ADB8BA" w14:textId="77777777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5A948665" w14:textId="78E625C8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109.121.731.879</w:t>
            </w:r>
          </w:p>
        </w:tc>
        <w:tc>
          <w:tcPr>
            <w:tcW w:w="2460" w:type="dxa"/>
            <w:vAlign w:val="bottom"/>
          </w:tcPr>
          <w:p w14:paraId="0EF4ADD5" w14:textId="30446D75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129.592.791.019</w:t>
            </w:r>
          </w:p>
        </w:tc>
        <w:tc>
          <w:tcPr>
            <w:tcW w:w="2259" w:type="dxa"/>
            <w:vAlign w:val="bottom"/>
          </w:tcPr>
          <w:p w14:paraId="5BBD6F63" w14:textId="4C27E876" w:rsidR="0072042E" w:rsidRPr="009F7456" w:rsidRDefault="0072042E" w:rsidP="00720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-15,80%</w:t>
            </w:r>
          </w:p>
        </w:tc>
      </w:tr>
      <w:tr w:rsidR="0072042E" w:rsidRPr="002F1F2D" w14:paraId="0753DB2F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564992E" w14:textId="26E647F5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3F5543F7" w14:textId="320DD13B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1.217.884</w:t>
            </w:r>
          </w:p>
        </w:tc>
        <w:tc>
          <w:tcPr>
            <w:tcW w:w="2460" w:type="dxa"/>
            <w:vAlign w:val="bottom"/>
          </w:tcPr>
          <w:p w14:paraId="451D34CB" w14:textId="5720A085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1.274.682</w:t>
            </w:r>
          </w:p>
        </w:tc>
        <w:tc>
          <w:tcPr>
            <w:tcW w:w="2259" w:type="dxa"/>
            <w:vAlign w:val="bottom"/>
          </w:tcPr>
          <w:p w14:paraId="0C7F3654" w14:textId="19BAF139" w:rsidR="0072042E" w:rsidRPr="009F7456" w:rsidRDefault="0072042E" w:rsidP="00720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-4,46%</w:t>
            </w:r>
          </w:p>
        </w:tc>
      </w:tr>
      <w:tr w:rsidR="0072042E" w:rsidRPr="002F1F2D" w14:paraId="14C0721A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70C4310" w14:textId="77777777" w:rsidR="0072042E" w:rsidRPr="002F1F2D" w:rsidRDefault="0072042E" w:rsidP="0072042E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6C757DFF" w14:textId="33C4E88E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89.599</w:t>
            </w:r>
          </w:p>
        </w:tc>
        <w:tc>
          <w:tcPr>
            <w:tcW w:w="2460" w:type="dxa"/>
            <w:vAlign w:val="bottom"/>
          </w:tcPr>
          <w:p w14:paraId="726FA0E3" w14:textId="241A690D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101.667</w:t>
            </w:r>
          </w:p>
        </w:tc>
        <w:tc>
          <w:tcPr>
            <w:tcW w:w="2259" w:type="dxa"/>
            <w:vAlign w:val="bottom"/>
          </w:tcPr>
          <w:p w14:paraId="3F7C0B0B" w14:textId="77777777" w:rsidR="0072042E" w:rsidRPr="009F7456" w:rsidRDefault="0072042E" w:rsidP="0072042E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5E5FF66" w14:textId="77777777" w:rsidR="00CC100E" w:rsidRDefault="00CC100E" w:rsidP="00CC100E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EUROMOT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5383CF7C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2F1F2D" w14:paraId="7CF808C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2BBA350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374F0AD" w14:textId="3CDE53F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8421B07" w14:textId="1CB0452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B13C7F7" w14:textId="3702FAD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36C95D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78BE5B4" w14:textId="37BC91C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A2312" w:rsidRPr="002F1F2D" w14:paraId="74B502CC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767537" w14:textId="30083529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57BA99B" w14:textId="45EC33BF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21,33%</w:t>
            </w:r>
          </w:p>
        </w:tc>
        <w:tc>
          <w:tcPr>
            <w:tcW w:w="1737" w:type="dxa"/>
            <w:noWrap/>
            <w:vAlign w:val="bottom"/>
          </w:tcPr>
          <w:p w14:paraId="142664FF" w14:textId="1189F5AA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27,51%</w:t>
            </w:r>
          </w:p>
        </w:tc>
        <w:tc>
          <w:tcPr>
            <w:tcW w:w="1736" w:type="dxa"/>
            <w:noWrap/>
            <w:vAlign w:val="bottom"/>
          </w:tcPr>
          <w:p w14:paraId="1FFD3B44" w14:textId="74A234F9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-6,18%</w:t>
            </w:r>
          </w:p>
        </w:tc>
        <w:tc>
          <w:tcPr>
            <w:tcW w:w="1737" w:type="dxa"/>
            <w:noWrap/>
            <w:vAlign w:val="bottom"/>
          </w:tcPr>
          <w:p w14:paraId="50D7751F" w14:textId="0DD739D5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A2312" w:rsidRPr="002F1F2D" w14:paraId="4343DF1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393276" w14:textId="14D26025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051B781" w14:textId="65BF3505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9,96%</w:t>
            </w:r>
          </w:p>
        </w:tc>
        <w:tc>
          <w:tcPr>
            <w:tcW w:w="1737" w:type="dxa"/>
            <w:noWrap/>
            <w:vAlign w:val="bottom"/>
          </w:tcPr>
          <w:p w14:paraId="49F99326" w14:textId="7361E8E4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13,40%</w:t>
            </w:r>
          </w:p>
        </w:tc>
        <w:tc>
          <w:tcPr>
            <w:tcW w:w="1736" w:type="dxa"/>
            <w:noWrap/>
            <w:vAlign w:val="bottom"/>
          </w:tcPr>
          <w:p w14:paraId="068EF6FE" w14:textId="0E30582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-3,44%</w:t>
            </w:r>
          </w:p>
        </w:tc>
        <w:tc>
          <w:tcPr>
            <w:tcW w:w="1737" w:type="dxa"/>
            <w:noWrap/>
            <w:vAlign w:val="bottom"/>
          </w:tcPr>
          <w:p w14:paraId="35A62E1D" w14:textId="6FB1DA01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A2312" w:rsidRPr="002F1F2D" w14:paraId="0615A67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D20C96" w14:textId="15054769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1E3995CF" w14:textId="0691421E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7,88%</w:t>
            </w:r>
          </w:p>
        </w:tc>
        <w:tc>
          <w:tcPr>
            <w:tcW w:w="1737" w:type="dxa"/>
            <w:noWrap/>
            <w:vAlign w:val="bottom"/>
          </w:tcPr>
          <w:p w14:paraId="2234EC56" w14:textId="0DA22A81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2,66%</w:t>
            </w:r>
          </w:p>
        </w:tc>
        <w:tc>
          <w:tcPr>
            <w:tcW w:w="1736" w:type="dxa"/>
            <w:noWrap/>
            <w:vAlign w:val="bottom"/>
          </w:tcPr>
          <w:p w14:paraId="635B5351" w14:textId="214553C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5,22%</w:t>
            </w:r>
          </w:p>
        </w:tc>
        <w:tc>
          <w:tcPr>
            <w:tcW w:w="1737" w:type="dxa"/>
            <w:noWrap/>
            <w:vAlign w:val="bottom"/>
          </w:tcPr>
          <w:p w14:paraId="41982D7B" w14:textId="7BABECFB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A2312" w:rsidRPr="002F1F2D" w14:paraId="4524388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A01AD2" w14:textId="0DAF4469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43199DF" w14:textId="17E020ED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7,50%</w:t>
            </w:r>
          </w:p>
        </w:tc>
        <w:tc>
          <w:tcPr>
            <w:tcW w:w="1737" w:type="dxa"/>
            <w:noWrap/>
            <w:vAlign w:val="bottom"/>
          </w:tcPr>
          <w:p w14:paraId="1DE8C09A" w14:textId="0C5BE11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0,98%</w:t>
            </w:r>
          </w:p>
        </w:tc>
        <w:tc>
          <w:tcPr>
            <w:tcW w:w="1736" w:type="dxa"/>
            <w:noWrap/>
            <w:vAlign w:val="bottom"/>
          </w:tcPr>
          <w:p w14:paraId="05319D74" w14:textId="3BD703A6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6,52%</w:t>
            </w:r>
          </w:p>
        </w:tc>
        <w:tc>
          <w:tcPr>
            <w:tcW w:w="1737" w:type="dxa"/>
            <w:noWrap/>
            <w:vAlign w:val="bottom"/>
          </w:tcPr>
          <w:p w14:paraId="5B7225E2" w14:textId="42B3DE6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A2312" w:rsidRPr="002F1F2D" w14:paraId="1FAFF7E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995C53" w14:textId="0968133A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B77A85B" w14:textId="78B64A9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6,03%</w:t>
            </w:r>
          </w:p>
        </w:tc>
        <w:tc>
          <w:tcPr>
            <w:tcW w:w="1737" w:type="dxa"/>
            <w:noWrap/>
            <w:vAlign w:val="bottom"/>
          </w:tcPr>
          <w:p w14:paraId="28827A7C" w14:textId="0457AD37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30A1AF34" w14:textId="329CD94B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5,92%</w:t>
            </w:r>
          </w:p>
        </w:tc>
        <w:tc>
          <w:tcPr>
            <w:tcW w:w="1737" w:type="dxa"/>
            <w:noWrap/>
            <w:vAlign w:val="bottom"/>
          </w:tcPr>
          <w:p w14:paraId="45CB34A8" w14:textId="4648E29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A2312" w:rsidRPr="002F1F2D" w14:paraId="14CBC2E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C6682E" w14:textId="5AD3A743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229791F1" w14:textId="38DDA009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1,96%</w:t>
            </w:r>
          </w:p>
        </w:tc>
        <w:tc>
          <w:tcPr>
            <w:tcW w:w="1737" w:type="dxa"/>
            <w:noWrap/>
            <w:vAlign w:val="bottom"/>
          </w:tcPr>
          <w:p w14:paraId="2BC68D3D" w14:textId="29513E6E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2,49%</w:t>
            </w:r>
          </w:p>
        </w:tc>
        <w:tc>
          <w:tcPr>
            <w:tcW w:w="1736" w:type="dxa"/>
            <w:noWrap/>
            <w:vAlign w:val="bottom"/>
          </w:tcPr>
          <w:p w14:paraId="7B2529F5" w14:textId="2CD4CE8A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-0,53%</w:t>
            </w:r>
          </w:p>
        </w:tc>
        <w:tc>
          <w:tcPr>
            <w:tcW w:w="1737" w:type="dxa"/>
            <w:noWrap/>
            <w:vAlign w:val="bottom"/>
          </w:tcPr>
          <w:p w14:paraId="5BC7A32C" w14:textId="7B04500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A2312" w:rsidRPr="002F1F2D" w14:paraId="586DF6D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00CB51" w14:textId="6F7F432E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0184D37F" w14:textId="00413AB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1,93%</w:t>
            </w:r>
          </w:p>
        </w:tc>
        <w:tc>
          <w:tcPr>
            <w:tcW w:w="1737" w:type="dxa"/>
            <w:noWrap/>
            <w:vAlign w:val="bottom"/>
          </w:tcPr>
          <w:p w14:paraId="5FB26648" w14:textId="617653D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2,12%</w:t>
            </w:r>
          </w:p>
        </w:tc>
        <w:tc>
          <w:tcPr>
            <w:tcW w:w="1736" w:type="dxa"/>
            <w:noWrap/>
            <w:vAlign w:val="bottom"/>
          </w:tcPr>
          <w:p w14:paraId="5A0ACC5F" w14:textId="137A9B3A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6B4F333F" w14:textId="61A1AC34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A2312" w:rsidRPr="002F1F2D" w14:paraId="4481B5A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A27E61" w14:textId="12582035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DD70989" w14:textId="59D8588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0,80%</w:t>
            </w:r>
          </w:p>
        </w:tc>
        <w:tc>
          <w:tcPr>
            <w:tcW w:w="1737" w:type="dxa"/>
            <w:noWrap/>
            <w:vAlign w:val="bottom"/>
          </w:tcPr>
          <w:p w14:paraId="2D958C63" w14:textId="5BC86976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6" w:type="dxa"/>
            <w:noWrap/>
            <w:vAlign w:val="bottom"/>
          </w:tcPr>
          <w:p w14:paraId="5D376D9B" w14:textId="3282C5D6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7" w:type="dxa"/>
            <w:noWrap/>
            <w:vAlign w:val="bottom"/>
          </w:tcPr>
          <w:p w14:paraId="3274C3A1" w14:textId="5DEC60C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A2312" w:rsidRPr="002F1F2D" w14:paraId="1E4FC08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23A4E9" w14:textId="5049C1C8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557A4A2C" w14:textId="389BE96D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7" w:type="dxa"/>
            <w:noWrap/>
            <w:vAlign w:val="bottom"/>
          </w:tcPr>
          <w:p w14:paraId="4F7C576B" w14:textId="5056D749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1,88%</w:t>
            </w:r>
          </w:p>
        </w:tc>
        <w:tc>
          <w:tcPr>
            <w:tcW w:w="1736" w:type="dxa"/>
            <w:noWrap/>
            <w:vAlign w:val="bottom"/>
          </w:tcPr>
          <w:p w14:paraId="7032911D" w14:textId="2E8DD97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-1,12%</w:t>
            </w:r>
          </w:p>
        </w:tc>
        <w:tc>
          <w:tcPr>
            <w:tcW w:w="1737" w:type="dxa"/>
            <w:noWrap/>
            <w:vAlign w:val="bottom"/>
          </w:tcPr>
          <w:p w14:paraId="5EF5FF4B" w14:textId="12DBC0A9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A2312" w:rsidRPr="002F1F2D" w14:paraId="7A80F1E0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99E48A" w14:textId="137AC97F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EE178BE" w14:textId="6890C62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0,57%</w:t>
            </w:r>
          </w:p>
        </w:tc>
        <w:tc>
          <w:tcPr>
            <w:tcW w:w="1737" w:type="dxa"/>
            <w:noWrap/>
            <w:vAlign w:val="bottom"/>
          </w:tcPr>
          <w:p w14:paraId="3AE1FF8B" w14:textId="150ECF24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6" w:type="dxa"/>
            <w:noWrap/>
            <w:vAlign w:val="bottom"/>
          </w:tcPr>
          <w:p w14:paraId="0B154E44" w14:textId="742D4D0D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4B684737" w14:textId="08F1D5AD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A2312" w:rsidRPr="002F1F2D" w14:paraId="33B9852B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CC29F7" w14:textId="409EFB54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1672D1DC" w14:textId="2E1CA92C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4DE99254" w14:textId="1C92C6CB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49F7D34" w14:textId="45E10A00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459301D1" w14:textId="65497AF0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2A2312" w:rsidRPr="002F1F2D" w14:paraId="254CEC2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F369F14" w14:textId="4EFE3A54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D81C804" w14:textId="0A108D00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16E2FDC6" w14:textId="37FDDC5E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6" w:type="dxa"/>
            <w:noWrap/>
            <w:vAlign w:val="bottom"/>
          </w:tcPr>
          <w:p w14:paraId="1D2E50E0" w14:textId="20FBD1CD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14E160D8" w14:textId="77AC5C2B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A2312" w:rsidRPr="002F1F2D" w14:paraId="5C8F643A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0D4C8C" w14:textId="2A58CE64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03E544E" w14:textId="2BF2940B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7234E5B6" w14:textId="142628F0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725D6BDB" w14:textId="16FD48D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04FF98A3" w14:textId="0DE04F27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A2312" w:rsidRPr="002F1F2D" w14:paraId="58531951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04FC0F" w14:textId="714945FC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E469002" w14:textId="230EC4F1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040F7E4A" w14:textId="08A616B7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616C7D06" w14:textId="66C210B1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1A054C76" w14:textId="3E074891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A2312" w:rsidRPr="002F1F2D" w14:paraId="137B967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FF1916" w14:textId="3877BC97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0372209C" w14:textId="648AC57E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4C59BC50" w14:textId="3AC76E6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299A3962" w14:textId="0FE35A6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1C9822CB" w14:textId="200F29D6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A2312" w:rsidRPr="002F1F2D" w14:paraId="4D99EB0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475EF2" w14:textId="00C4AE1E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81220FC" w14:textId="1458714B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4A8850CB" w14:textId="1FFF0D29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6A904F24" w14:textId="16A8A4BE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D38F849" w14:textId="5EC4C9C0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A2312" w:rsidRPr="002F1F2D" w14:paraId="76FAD51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4DB2618" w14:textId="3E7CC033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6512E6E" w14:textId="52E646D5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36EDEEA" w14:textId="67383F34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7F6AB69B" w14:textId="73DDA85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-0,36%</w:t>
            </w:r>
          </w:p>
        </w:tc>
        <w:tc>
          <w:tcPr>
            <w:tcW w:w="1737" w:type="dxa"/>
            <w:noWrap/>
            <w:vAlign w:val="bottom"/>
          </w:tcPr>
          <w:p w14:paraId="3BEC6566" w14:textId="198F4A5A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A2312" w:rsidRPr="002F1F2D" w14:paraId="67027AD1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CDC7CC" w14:textId="29241C37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4769B13" w14:textId="695B2253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280A0F" w14:textId="6840BAC4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C16B957" w14:textId="1649F1A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D11AEA" w14:textId="2DC79411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2A2312" w:rsidRPr="002F1F2D" w14:paraId="680DEA33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2E8ED9" w14:textId="5C881D33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462AFC63" w14:textId="6CD5233D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A214ED5" w14:textId="47B5C2B6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ADA3EA8" w14:textId="22FB9B2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A2A7D8" w14:textId="297C1B9C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A2312" w:rsidRPr="002F1F2D" w14:paraId="68AAC95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DE9378" w14:textId="193BED7E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DCC66D8" w14:textId="2B12A8A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59236DF" w14:textId="05DC08A0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54FF104" w14:textId="6543975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DDDE6C" w14:textId="6D1123A4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A2312" w:rsidRPr="002F1F2D" w14:paraId="6D15C70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FC302D" w14:textId="45913846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7D1396A" w14:textId="6F28AC45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947624" w14:textId="0665C0EA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A852CBB" w14:textId="08A68F94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211B9E8" w14:textId="78DEC793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A2312" w:rsidRPr="002F1F2D" w14:paraId="137924FB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8252C1" w14:textId="159B560E" w:rsidR="002A2312" w:rsidRPr="001069CF" w:rsidRDefault="002A2312" w:rsidP="002A231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5DAD9AE4" w14:textId="0341101C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81C0281" w14:textId="7213BE69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598FB5D" w14:textId="7A7CC3D8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8EFD2DD" w14:textId="1F72366C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2A2312" w:rsidRPr="002F1F2D" w14:paraId="6C82410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8C699B" w14:textId="7B9E97EF" w:rsidR="002A2312" w:rsidRPr="002F1F2D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ABC3089" w14:textId="0E37AFB4" w:rsidR="002A2312" w:rsidRPr="00D45D3C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9EA759" w14:textId="095C33E2" w:rsidR="002A2312" w:rsidRPr="00D45D3C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186E849" w14:textId="313F0E03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F8A022C" w14:textId="5B0969AC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A2312" w:rsidRPr="002F1F2D" w14:paraId="182188B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058AE0" w14:textId="4D1D5657" w:rsidR="002A2312" w:rsidRPr="002F1F2D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BAD8B6A" w14:textId="244E232B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BCA4BC2" w14:textId="0FA76804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AC91AAF" w14:textId="2D2AB682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01170CE" w14:textId="341538A4" w:rsidR="002A2312" w:rsidRPr="002F1F2D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30B5136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987CF2B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A237EE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EC885C3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C070DD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AB6C51F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47A9C195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DB6016E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A61967A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CD6A507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185EE2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A0E74F5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5E54CB98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6743E27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48153E1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7BC64A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772DFC6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CFF6F12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46E6D025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613800D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52459E6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E99AB0A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8437A5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FB96865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06897B83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FCBF309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E3760B5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D85E1AF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2FDFFF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BB12947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2CDAC041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35407A9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9B6CBA4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4AF25F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E50A1AB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656D94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2F1F2D" w14:paraId="5A08DC0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F0E4551" w14:textId="77777777" w:rsidR="00CC100E" w:rsidRPr="002F1F2D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1862E1C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3A3C169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C3FBFCC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4ADC91B" w14:textId="77777777" w:rsidR="00CC100E" w:rsidRPr="002F1F2D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13329" w:rsidRPr="002F1F2D" w14:paraId="130EDE3B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0EE2D33" w14:textId="77777777" w:rsidR="00413329" w:rsidRPr="002F1F2D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C48AE87" w14:textId="34ADC591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60,06%</w:t>
            </w:r>
          </w:p>
        </w:tc>
        <w:tc>
          <w:tcPr>
            <w:tcW w:w="1737" w:type="dxa"/>
            <w:noWrap/>
            <w:vAlign w:val="bottom"/>
          </w:tcPr>
          <w:p w14:paraId="3B5C694E" w14:textId="098110D7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52,13%</w:t>
            </w:r>
          </w:p>
        </w:tc>
        <w:tc>
          <w:tcPr>
            <w:tcW w:w="1736" w:type="dxa"/>
            <w:noWrap/>
          </w:tcPr>
          <w:p w14:paraId="63409D57" w14:textId="77777777" w:rsidR="00413329" w:rsidRPr="002F1F2D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0E101CD" w14:textId="77777777" w:rsidR="00413329" w:rsidRPr="002F1F2D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C703F39" w14:textId="77777777" w:rsidR="00CC100E" w:rsidRPr="002F1F2D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2F1F2D" w14:paraId="773AAB78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936339E" w14:textId="77777777" w:rsidR="00A635A4" w:rsidRPr="001069CF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069CF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6F66F9EE" w14:textId="17220265" w:rsidR="00A635A4" w:rsidRPr="001069CF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C8F0EE1" w14:textId="5CF8A710" w:rsidR="00A635A4" w:rsidRPr="001069CF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2A2312" w:rsidRPr="002F1F2D" w14:paraId="625C3D7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0D123B7" w14:textId="7448CB2A" w:rsidR="002A2312" w:rsidRPr="001069CF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69CF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1253E68B" w14:textId="02BFE3E2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52,70%</w:t>
            </w:r>
          </w:p>
        </w:tc>
        <w:tc>
          <w:tcPr>
            <w:tcW w:w="2977" w:type="dxa"/>
            <w:vAlign w:val="bottom"/>
          </w:tcPr>
          <w:p w14:paraId="37C02BC7" w14:textId="16961099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48,17%</w:t>
            </w:r>
          </w:p>
        </w:tc>
      </w:tr>
      <w:tr w:rsidR="002A2312" w:rsidRPr="002F1F2D" w14:paraId="7ECF364B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7B00091" w14:textId="240A56F6" w:rsidR="002A2312" w:rsidRPr="001069CF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69CF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6125C79" w14:textId="1607799B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58,73%</w:t>
            </w:r>
          </w:p>
        </w:tc>
        <w:tc>
          <w:tcPr>
            <w:tcW w:w="2977" w:type="dxa"/>
            <w:vAlign w:val="bottom"/>
          </w:tcPr>
          <w:p w14:paraId="09723E5D" w14:textId="37D0E662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52,22%</w:t>
            </w:r>
          </w:p>
        </w:tc>
      </w:tr>
    </w:tbl>
    <w:p w14:paraId="6E62EA82" w14:textId="77777777" w:rsidR="00CC100E" w:rsidRPr="002F1F2D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2F1F2D" w14:paraId="5ECA6ADE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3CB6274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0C8CE545" w14:textId="59D449A2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444357A" w14:textId="35746C4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17C43FA5" w14:textId="77777777" w:rsidR="00A635A4" w:rsidRPr="002F1F2D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Variazione</w:t>
            </w:r>
          </w:p>
        </w:tc>
      </w:tr>
      <w:tr w:rsidR="002A2312" w:rsidRPr="002F1F2D" w14:paraId="5A733E0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6729CE5" w14:textId="77777777" w:rsidR="002A2312" w:rsidRPr="002F1F2D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45F9B34A" w14:textId="14FC39C2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3.275.871.398</w:t>
            </w:r>
          </w:p>
        </w:tc>
        <w:tc>
          <w:tcPr>
            <w:tcW w:w="2460" w:type="dxa"/>
            <w:vAlign w:val="bottom"/>
          </w:tcPr>
          <w:p w14:paraId="175FFD45" w14:textId="2B40934E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3.414.193.513</w:t>
            </w:r>
          </w:p>
        </w:tc>
        <w:tc>
          <w:tcPr>
            <w:tcW w:w="2259" w:type="dxa"/>
            <w:vAlign w:val="bottom"/>
          </w:tcPr>
          <w:p w14:paraId="5883FC4F" w14:textId="675FEA48" w:rsidR="002A2312" w:rsidRPr="001069CF" w:rsidRDefault="002A2312" w:rsidP="002A2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-4,05%</w:t>
            </w:r>
          </w:p>
        </w:tc>
      </w:tr>
      <w:tr w:rsidR="002A2312" w:rsidRPr="002F1F2D" w14:paraId="124992E5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21FC939" w14:textId="79E6D290" w:rsidR="002A2312" w:rsidRPr="002F1F2D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68773D09" w14:textId="65ABA8EA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130.001</w:t>
            </w:r>
          </w:p>
        </w:tc>
        <w:tc>
          <w:tcPr>
            <w:tcW w:w="2460" w:type="dxa"/>
            <w:vAlign w:val="bottom"/>
          </w:tcPr>
          <w:p w14:paraId="416D7E5A" w14:textId="057C1445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180.702</w:t>
            </w:r>
          </w:p>
        </w:tc>
        <w:tc>
          <w:tcPr>
            <w:tcW w:w="2259" w:type="dxa"/>
            <w:vAlign w:val="bottom"/>
          </w:tcPr>
          <w:p w14:paraId="209514BE" w14:textId="042246D4" w:rsidR="002A2312" w:rsidRPr="001069CF" w:rsidRDefault="002A2312" w:rsidP="002A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-28,06%</w:t>
            </w:r>
          </w:p>
        </w:tc>
      </w:tr>
      <w:tr w:rsidR="002A2312" w:rsidRPr="002F1F2D" w14:paraId="0051119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B9514D0" w14:textId="77777777" w:rsidR="002A2312" w:rsidRPr="002F1F2D" w:rsidRDefault="002A2312" w:rsidP="002A2312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2F1F2D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14C3D31" w14:textId="3203E97D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25.199</w:t>
            </w:r>
          </w:p>
        </w:tc>
        <w:tc>
          <w:tcPr>
            <w:tcW w:w="2460" w:type="dxa"/>
            <w:vAlign w:val="bottom"/>
          </w:tcPr>
          <w:p w14:paraId="34D43B2C" w14:textId="5B213C45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18.894</w:t>
            </w:r>
          </w:p>
        </w:tc>
        <w:tc>
          <w:tcPr>
            <w:tcW w:w="2259" w:type="dxa"/>
            <w:vAlign w:val="bottom"/>
          </w:tcPr>
          <w:p w14:paraId="4CEECD91" w14:textId="77777777" w:rsidR="002A2312" w:rsidRPr="001069CF" w:rsidRDefault="002A2312" w:rsidP="002A23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1B8BA4" w14:textId="77777777" w:rsidR="00CC100E" w:rsidRDefault="00CC100E" w:rsidP="00CC100E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EXTRAMOT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58C8F39C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18577E" w14:paraId="71518D74" w14:textId="77777777" w:rsidTr="00AD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0369884" w14:textId="77777777" w:rsidR="00A635A4" w:rsidRPr="0018577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</w:tcPr>
          <w:p w14:paraId="3985C88F" w14:textId="69577F8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</w:tcPr>
          <w:p w14:paraId="5C6BF029" w14:textId="7537FED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</w:tcPr>
          <w:p w14:paraId="33E94969" w14:textId="28ECCA0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</w:tcPr>
          <w:p w14:paraId="382521B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39A4B90" w14:textId="038A9F2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13329" w:rsidRPr="0018577E" w14:paraId="4A19D6F5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AC998B" w14:textId="5ACAEC51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88B53D1" w14:textId="35D8D789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23,34%</w:t>
            </w:r>
          </w:p>
        </w:tc>
        <w:tc>
          <w:tcPr>
            <w:tcW w:w="1737" w:type="dxa"/>
            <w:noWrap/>
            <w:vAlign w:val="bottom"/>
          </w:tcPr>
          <w:p w14:paraId="741B6F76" w14:textId="5AD18320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736" w:type="dxa"/>
            <w:noWrap/>
            <w:vAlign w:val="bottom"/>
          </w:tcPr>
          <w:p w14:paraId="5B8FE958" w14:textId="32A05318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7,96%</w:t>
            </w:r>
          </w:p>
        </w:tc>
        <w:tc>
          <w:tcPr>
            <w:tcW w:w="1737" w:type="dxa"/>
            <w:noWrap/>
            <w:vAlign w:val="bottom"/>
          </w:tcPr>
          <w:p w14:paraId="3AF7A8F7" w14:textId="4BA08BD8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13329" w:rsidRPr="0018577E" w14:paraId="4EECB56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585CEE" w14:textId="6921CC49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4F1EDD4" w14:textId="50A6FF2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8,75%</w:t>
            </w:r>
          </w:p>
        </w:tc>
        <w:tc>
          <w:tcPr>
            <w:tcW w:w="1737" w:type="dxa"/>
            <w:noWrap/>
            <w:vAlign w:val="bottom"/>
          </w:tcPr>
          <w:p w14:paraId="103DAFEA" w14:textId="31979E4A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10,16%</w:t>
            </w:r>
          </w:p>
        </w:tc>
        <w:tc>
          <w:tcPr>
            <w:tcW w:w="1736" w:type="dxa"/>
            <w:noWrap/>
            <w:vAlign w:val="bottom"/>
          </w:tcPr>
          <w:p w14:paraId="29926BF1" w14:textId="20A040EC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-1,41%</w:t>
            </w:r>
          </w:p>
        </w:tc>
        <w:tc>
          <w:tcPr>
            <w:tcW w:w="1737" w:type="dxa"/>
            <w:noWrap/>
            <w:vAlign w:val="bottom"/>
          </w:tcPr>
          <w:p w14:paraId="7143BE69" w14:textId="3EE74E83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13329" w:rsidRPr="0018577E" w14:paraId="06DDFE0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F75886" w14:textId="4ABBDAF2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10C0A69" w14:textId="23CB4A36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8,55%</w:t>
            </w:r>
          </w:p>
        </w:tc>
        <w:tc>
          <w:tcPr>
            <w:tcW w:w="1737" w:type="dxa"/>
            <w:noWrap/>
            <w:vAlign w:val="bottom"/>
          </w:tcPr>
          <w:p w14:paraId="55F8300A" w14:textId="48EABA5B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11,57%</w:t>
            </w:r>
          </w:p>
        </w:tc>
        <w:tc>
          <w:tcPr>
            <w:tcW w:w="1736" w:type="dxa"/>
            <w:noWrap/>
            <w:vAlign w:val="bottom"/>
          </w:tcPr>
          <w:p w14:paraId="2D57DDEE" w14:textId="6FFC0C7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-3,02%</w:t>
            </w:r>
          </w:p>
        </w:tc>
        <w:tc>
          <w:tcPr>
            <w:tcW w:w="1737" w:type="dxa"/>
            <w:noWrap/>
            <w:vAlign w:val="bottom"/>
          </w:tcPr>
          <w:p w14:paraId="1EE9B553" w14:textId="3378635E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13329" w:rsidRPr="0018577E" w14:paraId="3160A05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673A52" w14:textId="2C88D11C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4C352538" w14:textId="17CAEF5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6,13%</w:t>
            </w:r>
          </w:p>
        </w:tc>
        <w:tc>
          <w:tcPr>
            <w:tcW w:w="1737" w:type="dxa"/>
            <w:noWrap/>
            <w:vAlign w:val="bottom"/>
          </w:tcPr>
          <w:p w14:paraId="2DE1AF7C" w14:textId="5F4CEA7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6,00%</w:t>
            </w:r>
          </w:p>
        </w:tc>
        <w:tc>
          <w:tcPr>
            <w:tcW w:w="1736" w:type="dxa"/>
            <w:noWrap/>
            <w:vAlign w:val="bottom"/>
          </w:tcPr>
          <w:p w14:paraId="4615EF3B" w14:textId="24CAEB5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52877357" w14:textId="17B3068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13329" w:rsidRPr="0018577E" w14:paraId="0608F88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F39A8B" w14:textId="2B11F076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367CB325" w14:textId="7AA4F9D9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4,75%</w:t>
            </w:r>
          </w:p>
        </w:tc>
        <w:tc>
          <w:tcPr>
            <w:tcW w:w="1737" w:type="dxa"/>
            <w:noWrap/>
            <w:vAlign w:val="bottom"/>
          </w:tcPr>
          <w:p w14:paraId="68F15473" w14:textId="2611F59E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7,09%</w:t>
            </w:r>
          </w:p>
        </w:tc>
        <w:tc>
          <w:tcPr>
            <w:tcW w:w="1736" w:type="dxa"/>
            <w:noWrap/>
            <w:vAlign w:val="bottom"/>
          </w:tcPr>
          <w:p w14:paraId="0D41C0F5" w14:textId="1A086493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-2,34%</w:t>
            </w:r>
          </w:p>
        </w:tc>
        <w:tc>
          <w:tcPr>
            <w:tcW w:w="1737" w:type="dxa"/>
            <w:noWrap/>
            <w:vAlign w:val="bottom"/>
          </w:tcPr>
          <w:p w14:paraId="2E94302D" w14:textId="4F071B64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13329" w:rsidRPr="0018577E" w14:paraId="1E5AF4A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332624" w14:textId="5EB2A9D0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424AF76A" w14:textId="07296C47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4,16%</w:t>
            </w:r>
          </w:p>
        </w:tc>
        <w:tc>
          <w:tcPr>
            <w:tcW w:w="1737" w:type="dxa"/>
            <w:noWrap/>
            <w:vAlign w:val="bottom"/>
          </w:tcPr>
          <w:p w14:paraId="51026A29" w14:textId="5B2B9FDB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6" w:type="dxa"/>
            <w:noWrap/>
            <w:vAlign w:val="bottom"/>
          </w:tcPr>
          <w:p w14:paraId="64AF79C3" w14:textId="33A07A03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3,01%</w:t>
            </w:r>
          </w:p>
        </w:tc>
        <w:tc>
          <w:tcPr>
            <w:tcW w:w="1737" w:type="dxa"/>
            <w:noWrap/>
            <w:vAlign w:val="bottom"/>
          </w:tcPr>
          <w:p w14:paraId="3ADF29FF" w14:textId="2E759CA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13329" w:rsidRPr="0018577E" w14:paraId="00A5DF7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687C6B" w14:textId="7108A603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D79CEDE" w14:textId="73D5A305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2,79%</w:t>
            </w:r>
          </w:p>
        </w:tc>
        <w:tc>
          <w:tcPr>
            <w:tcW w:w="1737" w:type="dxa"/>
            <w:noWrap/>
            <w:vAlign w:val="bottom"/>
          </w:tcPr>
          <w:p w14:paraId="6501E4C0" w14:textId="65DBE03D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5,71%</w:t>
            </w:r>
          </w:p>
        </w:tc>
        <w:tc>
          <w:tcPr>
            <w:tcW w:w="1736" w:type="dxa"/>
            <w:noWrap/>
            <w:vAlign w:val="bottom"/>
          </w:tcPr>
          <w:p w14:paraId="14B18C3E" w14:textId="3F3673E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-2,92%</w:t>
            </w:r>
          </w:p>
        </w:tc>
        <w:tc>
          <w:tcPr>
            <w:tcW w:w="1737" w:type="dxa"/>
            <w:noWrap/>
            <w:vAlign w:val="bottom"/>
          </w:tcPr>
          <w:p w14:paraId="7A5DEEFA" w14:textId="270851E9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13329" w:rsidRPr="0018577E" w14:paraId="7FC2F6F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7A8868" w14:textId="053B22F4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55CFF61E" w14:textId="48B88CCF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1,73%</w:t>
            </w:r>
          </w:p>
        </w:tc>
        <w:tc>
          <w:tcPr>
            <w:tcW w:w="1737" w:type="dxa"/>
            <w:noWrap/>
            <w:vAlign w:val="bottom"/>
          </w:tcPr>
          <w:p w14:paraId="2621B757" w14:textId="6AFEB47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1,14%</w:t>
            </w:r>
          </w:p>
        </w:tc>
        <w:tc>
          <w:tcPr>
            <w:tcW w:w="1736" w:type="dxa"/>
            <w:noWrap/>
            <w:vAlign w:val="bottom"/>
          </w:tcPr>
          <w:p w14:paraId="7683414B" w14:textId="485D4BA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7" w:type="dxa"/>
            <w:noWrap/>
            <w:vAlign w:val="bottom"/>
          </w:tcPr>
          <w:p w14:paraId="246CDF65" w14:textId="3E2D637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13329" w:rsidRPr="0018577E" w14:paraId="6B333B1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8A24D1" w14:textId="6E4EE0B1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FB36F1E" w14:textId="630ED32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1,52%</w:t>
            </w:r>
          </w:p>
        </w:tc>
        <w:tc>
          <w:tcPr>
            <w:tcW w:w="1737" w:type="dxa"/>
            <w:noWrap/>
            <w:vAlign w:val="bottom"/>
          </w:tcPr>
          <w:p w14:paraId="31BAC238" w14:textId="4AC815FA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1,63%</w:t>
            </w:r>
          </w:p>
        </w:tc>
        <w:tc>
          <w:tcPr>
            <w:tcW w:w="1736" w:type="dxa"/>
            <w:noWrap/>
            <w:vAlign w:val="bottom"/>
          </w:tcPr>
          <w:p w14:paraId="64B99C88" w14:textId="78FFED3C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-0,11%</w:t>
            </w:r>
          </w:p>
        </w:tc>
        <w:tc>
          <w:tcPr>
            <w:tcW w:w="1737" w:type="dxa"/>
            <w:noWrap/>
            <w:vAlign w:val="bottom"/>
          </w:tcPr>
          <w:p w14:paraId="3FB70478" w14:textId="0D3D19B3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13329" w:rsidRPr="0018577E" w14:paraId="1C4FDDF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76FF1B3" w14:textId="7C0FA816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C9826FD" w14:textId="7FB05FCE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0,99%</w:t>
            </w:r>
          </w:p>
        </w:tc>
        <w:tc>
          <w:tcPr>
            <w:tcW w:w="1737" w:type="dxa"/>
            <w:noWrap/>
            <w:vAlign w:val="bottom"/>
          </w:tcPr>
          <w:p w14:paraId="441C6BE9" w14:textId="2C585FF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2,21%</w:t>
            </w:r>
          </w:p>
        </w:tc>
        <w:tc>
          <w:tcPr>
            <w:tcW w:w="1736" w:type="dxa"/>
            <w:noWrap/>
            <w:vAlign w:val="bottom"/>
          </w:tcPr>
          <w:p w14:paraId="1164A5BC" w14:textId="55656F00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-1,22%</w:t>
            </w:r>
          </w:p>
        </w:tc>
        <w:tc>
          <w:tcPr>
            <w:tcW w:w="1737" w:type="dxa"/>
            <w:noWrap/>
            <w:vAlign w:val="bottom"/>
          </w:tcPr>
          <w:p w14:paraId="5D36D9D6" w14:textId="2F6033A9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13329" w:rsidRPr="0018577E" w14:paraId="7D48033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02B31B" w14:textId="18AA9A03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659DE800" w14:textId="63E320B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0,57%</w:t>
            </w:r>
          </w:p>
        </w:tc>
        <w:tc>
          <w:tcPr>
            <w:tcW w:w="1737" w:type="dxa"/>
            <w:noWrap/>
            <w:vAlign w:val="bottom"/>
          </w:tcPr>
          <w:p w14:paraId="75DA35FE" w14:textId="1B6B964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2,42%</w:t>
            </w:r>
          </w:p>
        </w:tc>
        <w:tc>
          <w:tcPr>
            <w:tcW w:w="1736" w:type="dxa"/>
            <w:noWrap/>
            <w:vAlign w:val="bottom"/>
          </w:tcPr>
          <w:p w14:paraId="4F5643FD" w14:textId="096FF9C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-1,85%</w:t>
            </w:r>
          </w:p>
        </w:tc>
        <w:tc>
          <w:tcPr>
            <w:tcW w:w="1737" w:type="dxa"/>
            <w:noWrap/>
            <w:vAlign w:val="bottom"/>
          </w:tcPr>
          <w:p w14:paraId="3B7B1E59" w14:textId="27CF2489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13329" w:rsidRPr="0018577E" w14:paraId="71DBE2D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B02860" w14:textId="50B9674C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5709CB28" w14:textId="73BCAC0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2DC3A708" w14:textId="28210F3E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0,69%</w:t>
            </w:r>
          </w:p>
        </w:tc>
        <w:tc>
          <w:tcPr>
            <w:tcW w:w="1736" w:type="dxa"/>
            <w:noWrap/>
            <w:vAlign w:val="bottom"/>
          </w:tcPr>
          <w:p w14:paraId="45EBAE28" w14:textId="1752911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7D84FC9C" w14:textId="5594275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13329" w:rsidRPr="0018577E" w14:paraId="6D4DAFB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99F074" w14:textId="2FB54F14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BAA5B58" w14:textId="59A78762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517F2A91" w14:textId="0B01A1A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6" w:type="dxa"/>
            <w:noWrap/>
            <w:vAlign w:val="bottom"/>
          </w:tcPr>
          <w:p w14:paraId="1690D039" w14:textId="58A26DF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4C90E27D" w14:textId="6A61535A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13329" w:rsidRPr="0018577E" w14:paraId="6589A66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5A3B25" w14:textId="32C78D7F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89BE178" w14:textId="2C8C06E5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258911" w14:textId="12F15D28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E082E29" w14:textId="508F7277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ADFC4B2" w14:textId="2A271C25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13329" w:rsidRPr="0018577E" w14:paraId="46AD9F8B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C25B31" w14:textId="396F73E9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77315E75" w14:textId="03BE7B87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C01B1DB" w14:textId="3D95A144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2810E212" w14:textId="3058828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ABD9944" w14:textId="4E9419D5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413329" w:rsidRPr="0018577E" w14:paraId="4B9F8CF8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CE692C" w14:textId="22AFE157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42A57003" w14:textId="50647BB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FC6F150" w14:textId="39EB8675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E247C2D" w14:textId="1B9201F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8BCBCB1" w14:textId="4B61EA79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13329" w:rsidRPr="0018577E" w14:paraId="6743D78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EFE88D" w14:textId="066CEEF7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8B936A1" w14:textId="1C18266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47163F4" w14:textId="658587B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1,03%</w:t>
            </w:r>
          </w:p>
        </w:tc>
        <w:tc>
          <w:tcPr>
            <w:tcW w:w="1736" w:type="dxa"/>
            <w:noWrap/>
            <w:vAlign w:val="bottom"/>
          </w:tcPr>
          <w:p w14:paraId="4D145A96" w14:textId="4EB38870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-1,03%</w:t>
            </w:r>
          </w:p>
        </w:tc>
        <w:tc>
          <w:tcPr>
            <w:tcW w:w="1737" w:type="dxa"/>
            <w:noWrap/>
            <w:vAlign w:val="bottom"/>
          </w:tcPr>
          <w:p w14:paraId="20E40941" w14:textId="5886032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13329" w:rsidRPr="0018577E" w14:paraId="217C456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AF6859" w14:textId="2834FB64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5442FB2B" w14:textId="139CF297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8AA7C7C" w14:textId="0713345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2F766F0C" w14:textId="06CCC5C1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D8EFC91" w14:textId="78CB3B27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413329" w:rsidRPr="0018577E" w14:paraId="34390409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7E7A13" w14:textId="27A9304B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A1DEA98" w14:textId="20AE8118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8BD8BD5" w14:textId="619B330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5AAA3036" w14:textId="1A00C3E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4E086C8C" w14:textId="2A67FEC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13329" w:rsidRPr="0018577E" w14:paraId="33433FA0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5CAA8F" w14:textId="72A72423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2007E8E6" w14:textId="112243DC" w:rsidR="00413329" w:rsidRPr="00D45D3C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A7E74D4" w14:textId="6A920D2F" w:rsidR="00413329" w:rsidRPr="00D45D3C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054C87A" w14:textId="0010C21C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F9BB389" w14:textId="1DF34D38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13329" w:rsidRPr="0018577E" w14:paraId="1E1C6B1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ECA116" w14:textId="19E614CB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51EC992A" w14:textId="2AB880BF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CBCC7BB" w14:textId="032FE06E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1474B37" w14:textId="5EC1828C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71D679A" w14:textId="40BA239B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13329" w:rsidRPr="0018577E" w14:paraId="40EF2990" w14:textId="77777777" w:rsidTr="004E6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3444923" w14:textId="77777777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DB69503" w14:textId="073547E0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07F7100" w14:textId="59B1707D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41EEFD5" w14:textId="77777777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1E38841" w14:textId="77777777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55F61406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21A4E35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6371960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AD554B5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51FA5FA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A2F5C56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0C602FE6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C6B20A4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4D01417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D9F6809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766E528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171F8BE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2FE24950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11A37BC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5D920F1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5D1A674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6EB6F01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10E6269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5F382C0F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7233C82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DD514C7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28AF00F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7283A28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D4BC7AD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7C0A3BB4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FF312A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10DD972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B5BC54D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AAD017A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A1E6B60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1C742C33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FA17615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03BC9AF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0B53868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341D4F4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F93997D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48DAAC83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FD06790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921BA47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DF4341F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C806C8B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5D0DDD2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562D022C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18F4A9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06EAD6B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0FFBA49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D9A6940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7C470ED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412" w:rsidRPr="0018577E" w14:paraId="33884C2D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7B9362B" w14:textId="77777777" w:rsidR="00AD5412" w:rsidRPr="0018577E" w:rsidRDefault="00AD5412" w:rsidP="00AD5412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75FBD7A" w14:textId="77777777" w:rsidR="00AD5412" w:rsidRPr="001069CF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EF4D173" w14:textId="77777777" w:rsidR="00AD5412" w:rsidRPr="001069CF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1142AB4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DB71408" w14:textId="77777777" w:rsidR="00AD5412" w:rsidRPr="0018577E" w:rsidRDefault="00AD5412" w:rsidP="00AD5412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13329" w:rsidRPr="0018577E" w14:paraId="4907517A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EDF28F3" w14:textId="77777777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232BA83" w14:textId="600336FA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64,32%</w:t>
            </w:r>
          </w:p>
        </w:tc>
        <w:tc>
          <w:tcPr>
            <w:tcW w:w="1737" w:type="dxa"/>
            <w:noWrap/>
            <w:vAlign w:val="bottom"/>
          </w:tcPr>
          <w:p w14:paraId="0F29EAF7" w14:textId="766110E6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60,74%</w:t>
            </w:r>
          </w:p>
        </w:tc>
        <w:tc>
          <w:tcPr>
            <w:tcW w:w="1736" w:type="dxa"/>
            <w:noWrap/>
          </w:tcPr>
          <w:p w14:paraId="5627C21F" w14:textId="77777777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E4F0889" w14:textId="77777777" w:rsidR="00413329" w:rsidRPr="0018577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8CD89C4" w14:textId="77777777" w:rsidR="00CC100E" w:rsidRPr="0018577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18577E" w14:paraId="29231B9B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02AF2E1" w14:textId="77777777" w:rsidR="00A635A4" w:rsidRPr="0018577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AB470F0" w14:textId="4F4458D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75D80CE" w14:textId="19FBA5A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13329" w:rsidRPr="0018577E" w14:paraId="7A3CC3C3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2E6C8B3" w14:textId="4432FD8F" w:rsidR="00413329" w:rsidRPr="001069CF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69CF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2AAE4821" w14:textId="31657F35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51,52%</w:t>
            </w:r>
          </w:p>
        </w:tc>
        <w:tc>
          <w:tcPr>
            <w:tcW w:w="2977" w:type="dxa"/>
            <w:vAlign w:val="bottom"/>
          </w:tcPr>
          <w:p w14:paraId="7B11F04D" w14:textId="1DCDD2D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50,20%</w:t>
            </w:r>
          </w:p>
        </w:tc>
      </w:tr>
      <w:tr w:rsidR="00413329" w:rsidRPr="0018577E" w14:paraId="30EED1C3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82F118B" w14:textId="4DD8BEE0" w:rsidR="00413329" w:rsidRPr="001069CF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69CF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10C0C529" w14:textId="7C1D8F76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62,72%</w:t>
            </w:r>
          </w:p>
        </w:tc>
        <w:tc>
          <w:tcPr>
            <w:tcW w:w="2977" w:type="dxa"/>
            <w:vAlign w:val="bottom"/>
          </w:tcPr>
          <w:p w14:paraId="4E586A32" w14:textId="1515A585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63,32%</w:t>
            </w:r>
          </w:p>
        </w:tc>
      </w:tr>
    </w:tbl>
    <w:p w14:paraId="54F1F843" w14:textId="77777777" w:rsidR="00CC100E" w:rsidRPr="0018577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18577E" w14:paraId="2FE1915B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1CDF4AF" w14:textId="77777777" w:rsidR="00A635A4" w:rsidRPr="0018577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3530CF51" w14:textId="2A61089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2C8E25ED" w14:textId="4168AC44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6451C438" w14:textId="77777777" w:rsidR="00A635A4" w:rsidRPr="0018577E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Variazione</w:t>
            </w:r>
          </w:p>
        </w:tc>
      </w:tr>
      <w:tr w:rsidR="00413329" w:rsidRPr="0018577E" w14:paraId="6052517C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B9210F1" w14:textId="77777777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2DA0F94B" w14:textId="044BBCA4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800.337.751</w:t>
            </w:r>
          </w:p>
        </w:tc>
        <w:tc>
          <w:tcPr>
            <w:tcW w:w="2460" w:type="dxa"/>
            <w:vAlign w:val="bottom"/>
          </w:tcPr>
          <w:p w14:paraId="138882F2" w14:textId="68908C02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1.242.171.605</w:t>
            </w:r>
          </w:p>
        </w:tc>
        <w:tc>
          <w:tcPr>
            <w:tcW w:w="2259" w:type="dxa"/>
            <w:vAlign w:val="bottom"/>
          </w:tcPr>
          <w:p w14:paraId="77144970" w14:textId="0C581DEB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-35,57%</w:t>
            </w:r>
          </w:p>
        </w:tc>
      </w:tr>
      <w:tr w:rsidR="00413329" w:rsidRPr="0018577E" w14:paraId="6989C3E8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10CEF5E" w14:textId="13682DE9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7847C382" w14:textId="2B807725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14.639</w:t>
            </w:r>
          </w:p>
        </w:tc>
        <w:tc>
          <w:tcPr>
            <w:tcW w:w="2460" w:type="dxa"/>
            <w:vAlign w:val="bottom"/>
          </w:tcPr>
          <w:p w14:paraId="742454AD" w14:textId="7A6797CF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17.972</w:t>
            </w:r>
          </w:p>
        </w:tc>
        <w:tc>
          <w:tcPr>
            <w:tcW w:w="2259" w:type="dxa"/>
            <w:vAlign w:val="bottom"/>
          </w:tcPr>
          <w:p w14:paraId="30D153D4" w14:textId="7337EA70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-18,55%</w:t>
            </w:r>
          </w:p>
        </w:tc>
      </w:tr>
      <w:tr w:rsidR="00413329" w:rsidRPr="0018577E" w14:paraId="7AAC292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52D7797" w14:textId="77777777" w:rsidR="00413329" w:rsidRPr="0018577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8577E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C51D3AB" w14:textId="4329CFD6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54.672</w:t>
            </w:r>
          </w:p>
        </w:tc>
        <w:tc>
          <w:tcPr>
            <w:tcW w:w="2460" w:type="dxa"/>
            <w:vAlign w:val="bottom"/>
          </w:tcPr>
          <w:p w14:paraId="0A320B9C" w14:textId="3617160A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69.117</w:t>
            </w:r>
          </w:p>
        </w:tc>
        <w:tc>
          <w:tcPr>
            <w:tcW w:w="2259" w:type="dxa"/>
            <w:vAlign w:val="bottom"/>
          </w:tcPr>
          <w:p w14:paraId="3CF413E6" w14:textId="77777777" w:rsidR="00413329" w:rsidRPr="001069CF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9B4C69E" w14:textId="77777777" w:rsidR="00CC100E" w:rsidRDefault="00CC100E" w:rsidP="00CC100E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SEDEX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67346D71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8A365E" w14:paraId="54D3C84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1578448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57A9E23" w14:textId="0AFFB32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C1198B3" w14:textId="1349E92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A1C121F" w14:textId="2916130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674C2EF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379DB02" w14:textId="6867078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13329" w:rsidRPr="008A365E" w14:paraId="0A9E3A0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B7ED04" w14:textId="4ED61619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A0C9163" w14:textId="061AA709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737" w:type="dxa"/>
            <w:noWrap/>
            <w:vAlign w:val="bottom"/>
          </w:tcPr>
          <w:p w14:paraId="0F326221" w14:textId="4786B19A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22,59%</w:t>
            </w:r>
          </w:p>
        </w:tc>
        <w:tc>
          <w:tcPr>
            <w:tcW w:w="1736" w:type="dxa"/>
            <w:noWrap/>
            <w:vAlign w:val="bottom"/>
          </w:tcPr>
          <w:p w14:paraId="1AEB3354" w14:textId="155836A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5,01%</w:t>
            </w:r>
          </w:p>
        </w:tc>
        <w:tc>
          <w:tcPr>
            <w:tcW w:w="1737" w:type="dxa"/>
            <w:noWrap/>
            <w:vAlign w:val="bottom"/>
          </w:tcPr>
          <w:p w14:paraId="4C1CDEDA" w14:textId="7435E9CD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13329" w:rsidRPr="008A365E" w14:paraId="6B6BFB37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24B013" w14:textId="535759B4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6183B612" w14:textId="59192E86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14,33%</w:t>
            </w:r>
          </w:p>
        </w:tc>
        <w:tc>
          <w:tcPr>
            <w:tcW w:w="1737" w:type="dxa"/>
            <w:noWrap/>
            <w:vAlign w:val="bottom"/>
          </w:tcPr>
          <w:p w14:paraId="14ECC368" w14:textId="361AA63E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15,58%</w:t>
            </w:r>
          </w:p>
        </w:tc>
        <w:tc>
          <w:tcPr>
            <w:tcW w:w="1736" w:type="dxa"/>
            <w:noWrap/>
            <w:vAlign w:val="bottom"/>
          </w:tcPr>
          <w:p w14:paraId="5A1131B7" w14:textId="37687104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-1,25%</w:t>
            </w:r>
          </w:p>
        </w:tc>
        <w:tc>
          <w:tcPr>
            <w:tcW w:w="1737" w:type="dxa"/>
            <w:noWrap/>
            <w:vAlign w:val="bottom"/>
          </w:tcPr>
          <w:p w14:paraId="60AD1784" w14:textId="3CC46DC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13329" w:rsidRPr="008A365E" w14:paraId="6E27BC3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916C23" w14:textId="56B48EDC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6DEE37A1" w14:textId="67D97BC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13,98%</w:t>
            </w:r>
          </w:p>
        </w:tc>
        <w:tc>
          <w:tcPr>
            <w:tcW w:w="1737" w:type="dxa"/>
            <w:noWrap/>
            <w:vAlign w:val="bottom"/>
          </w:tcPr>
          <w:p w14:paraId="66D90F2D" w14:textId="1D6DF2FC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7,38%</w:t>
            </w:r>
          </w:p>
        </w:tc>
        <w:tc>
          <w:tcPr>
            <w:tcW w:w="1736" w:type="dxa"/>
            <w:noWrap/>
            <w:vAlign w:val="bottom"/>
          </w:tcPr>
          <w:p w14:paraId="30281C92" w14:textId="1E0F6CCA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6,60%</w:t>
            </w:r>
          </w:p>
        </w:tc>
        <w:tc>
          <w:tcPr>
            <w:tcW w:w="1737" w:type="dxa"/>
            <w:noWrap/>
            <w:vAlign w:val="bottom"/>
          </w:tcPr>
          <w:p w14:paraId="0DDCE41C" w14:textId="50CD408C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13329" w:rsidRPr="008A365E" w14:paraId="488A8EB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6BA295" w14:textId="6D32196B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D48EE7F" w14:textId="3606008D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4,43%</w:t>
            </w:r>
          </w:p>
        </w:tc>
        <w:tc>
          <w:tcPr>
            <w:tcW w:w="1737" w:type="dxa"/>
            <w:noWrap/>
            <w:vAlign w:val="bottom"/>
          </w:tcPr>
          <w:p w14:paraId="41F232BD" w14:textId="1F50039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6,68%</w:t>
            </w:r>
          </w:p>
        </w:tc>
        <w:tc>
          <w:tcPr>
            <w:tcW w:w="1736" w:type="dxa"/>
            <w:noWrap/>
            <w:vAlign w:val="bottom"/>
          </w:tcPr>
          <w:p w14:paraId="039143C5" w14:textId="5BA717BD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-2,25%</w:t>
            </w:r>
          </w:p>
        </w:tc>
        <w:tc>
          <w:tcPr>
            <w:tcW w:w="1737" w:type="dxa"/>
            <w:noWrap/>
            <w:vAlign w:val="bottom"/>
          </w:tcPr>
          <w:p w14:paraId="76E19E80" w14:textId="3446A3F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13329" w:rsidRPr="008A365E" w14:paraId="5D9C045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91997D" w14:textId="150D5A08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AB9FAD2" w14:textId="3C439ED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1,95%</w:t>
            </w:r>
          </w:p>
        </w:tc>
        <w:tc>
          <w:tcPr>
            <w:tcW w:w="1737" w:type="dxa"/>
            <w:noWrap/>
            <w:vAlign w:val="bottom"/>
          </w:tcPr>
          <w:p w14:paraId="6BD81CC8" w14:textId="0930EE28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6,81%</w:t>
            </w:r>
          </w:p>
        </w:tc>
        <w:tc>
          <w:tcPr>
            <w:tcW w:w="1736" w:type="dxa"/>
            <w:noWrap/>
            <w:vAlign w:val="bottom"/>
          </w:tcPr>
          <w:p w14:paraId="5CD52455" w14:textId="352D1E6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-4,87%</w:t>
            </w:r>
          </w:p>
        </w:tc>
        <w:tc>
          <w:tcPr>
            <w:tcW w:w="1737" w:type="dxa"/>
            <w:noWrap/>
            <w:vAlign w:val="bottom"/>
          </w:tcPr>
          <w:p w14:paraId="77DFBE7F" w14:textId="1EF4B6F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13329" w:rsidRPr="008A365E" w14:paraId="01EED004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60A2A1" w14:textId="2D1B7E71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74BC678" w14:textId="12CE79B0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2109A41D" w14:textId="161F171A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09E9C10F" w14:textId="41C602D5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67A00BBA" w14:textId="64677CA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13329" w:rsidRPr="008A365E" w14:paraId="101ECD3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AEDD14" w14:textId="71269D69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6C6427E0" w14:textId="7171B78F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595AA486" w14:textId="329BD0E0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0566951B" w14:textId="1EA8F8D2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4B72D9EA" w14:textId="535E42CA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13329" w:rsidRPr="008A365E" w14:paraId="66DEAFE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B2627D" w14:textId="6235298E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E7903CB" w14:textId="2C881530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39346EE" w14:textId="7BA19BCA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414FD8B" w14:textId="01E28DEC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44F723F" w14:textId="6B6B3BD2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13329" w:rsidRPr="008A365E" w14:paraId="01DBC4A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101D86" w14:textId="0BE2E420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D494BE8" w14:textId="1A565B58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F20642" w14:textId="7DFB0FE3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2E6D8EE" w14:textId="239D7E43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D1D2331" w14:textId="6C01A17C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13329" w:rsidRPr="008A365E" w14:paraId="4227A430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14EB53" w14:textId="159D0763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894BE20" w14:textId="443125D3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D4E9C7A" w14:textId="2C84E6B8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BD5DFC4" w14:textId="0193FD3C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6F64E53" w14:textId="256698DA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13329" w:rsidRPr="008A365E" w14:paraId="473010B3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D29DB5" w14:textId="6C02A38F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7BF8DB2D" w14:textId="3C498B6A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4FD56EB" w14:textId="6C76374C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5FC3BBA" w14:textId="0E345DFE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88C3DEA" w14:textId="0A0684A9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13329" w:rsidRPr="008A365E" w14:paraId="39FAC1F3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FD82F0" w14:textId="371C0164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2D94F7D9" w14:textId="486E236F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6F4FE52" w14:textId="44522574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FCD7C5C" w14:textId="1E739B9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928B6D4" w14:textId="542508DC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13329" w:rsidRPr="008A365E" w14:paraId="620B7422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EF666F" w14:textId="2BD1B651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239A463" w14:textId="274C0576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86451AB" w14:textId="2A7A5703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B9DCF96" w14:textId="3268CB15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0316563" w14:textId="7943B8EC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13329" w:rsidRPr="008A365E" w14:paraId="7ED2D46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732F24" w14:textId="361A1CD6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19E45C69" w14:textId="22D11530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8B9E403" w14:textId="4A2684F0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E6D25F3" w14:textId="42C6D55C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C55B377" w14:textId="60F41305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13329" w:rsidRPr="008A365E" w14:paraId="7370962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2BCDD5" w14:textId="0E8A968A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208450CD" w14:textId="75BDD8F0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F1C9C05" w14:textId="0F3860D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79A3399" w14:textId="00E87A2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BA4EDF" w14:textId="71A37778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13329" w:rsidRPr="008A365E" w14:paraId="576AD52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3C5704" w14:textId="272B2B1C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42E30500" w14:textId="3E21A192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A43B4F5" w14:textId="2B40340F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281DA52" w14:textId="5919EB01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AA141EC" w14:textId="5259711C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13329" w:rsidRPr="008A365E" w14:paraId="6EFE3BD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80DC0A" w14:textId="4C5520A7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2864A6B" w14:textId="78D28C91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4E1BC18" w14:textId="4067981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2F9BAA9" w14:textId="6142056A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7ACC58" w14:textId="3CD69EA8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13329" w:rsidRPr="008A365E" w14:paraId="772F0F2A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4A61DA" w14:textId="10916322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298AB43" w14:textId="3494C97F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EECC42" w14:textId="4B02E52D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51ECC2F" w14:textId="491ED99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98BE724" w14:textId="3F8E8BCA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13329" w:rsidRPr="008A365E" w14:paraId="0F47D04C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65BC36" w14:textId="5A95899E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50F24A7E" w14:textId="35CD45F2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A20ACAB" w14:textId="1F011CB3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28D27B6" w14:textId="08B6B2F5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395A3F" w14:textId="63FC0FC2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13329" w:rsidRPr="008A365E" w14:paraId="10C2BAD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0EA9EF" w14:textId="57F56C80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A9A03C0" w14:textId="7D506155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18EB2FE" w14:textId="0FB2FD3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A7596BD" w14:textId="60A983F1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C2489AF" w14:textId="6237A7A4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13329" w:rsidRPr="008A365E" w14:paraId="1CBDCD9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85BF44" w14:textId="0C27186C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3B07574A" w14:textId="52E0928B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3AC8594" w14:textId="0C62B7E4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C8D547C" w14:textId="42354DB1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4EEEB18" w14:textId="11F24B0E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13329" w:rsidRPr="008A365E" w14:paraId="0CA5A6D8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84D37A" w14:textId="17362411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5AB1BCF2" w14:textId="13125AB3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FAA70A5" w14:textId="422E332F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8B056E2" w14:textId="016E67B9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0022081" w14:textId="038DC8ED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13329" w:rsidRPr="008A365E" w14:paraId="2C5B25C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FE65DD" w14:textId="7161DFB9" w:rsidR="00413329" w:rsidRPr="001069CF" w:rsidRDefault="00413329" w:rsidP="004133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3F96AE5F" w14:textId="52D0A750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2AC393F" w14:textId="29AF8041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41CEB58" w14:textId="4CD80F6F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47D776C" w14:textId="17D4FCA7" w:rsidR="00413329" w:rsidRPr="001069CF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13329" w:rsidRPr="008A365E" w14:paraId="6D2BDFD9" w14:textId="77777777" w:rsidTr="004E6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C612D2" w14:textId="77777777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CCCEAF7" w14:textId="6F5EC5CA" w:rsidR="00413329" w:rsidRPr="00D45D3C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C5ED60E" w14:textId="268FA2A1" w:rsidR="00413329" w:rsidRPr="00D45D3C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D46A622" w14:textId="77777777" w:rsidR="00413329" w:rsidRPr="008A365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A605864" w14:textId="77777777" w:rsidR="00413329" w:rsidRPr="008A365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5156EDA2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7377AC6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66DC9FC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CEA8A09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CBE4BAB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B69B523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7EF71369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EE74BAD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A4EEDEF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10ACB9C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631D4B9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BA87C3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15FE5099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7B09F99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E7A58B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AC6B417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3F7B417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0C4B91D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4CFC3CE8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866C6DD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9E7E3FC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0223F05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CD8820D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9020165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50745F4E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3B9797C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763E6B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C458DCD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35DBFEC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E98A164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673D9056" w14:textId="77777777" w:rsidTr="007C5C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B791558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F349AED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0283449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16ACB94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910DEBC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8A365E" w14:paraId="4FD1CE6F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FD71C5E" w14:textId="77777777" w:rsidR="00CC100E" w:rsidRPr="008A365E" w:rsidRDefault="00CC100E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A6815EB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61DB50F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CB7CE5F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2750F1E" w14:textId="77777777" w:rsidR="00CC100E" w:rsidRPr="008A365E" w:rsidRDefault="00CC100E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13329" w:rsidRPr="008A365E" w14:paraId="30F58344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EE95EAD" w14:textId="77777777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9E1F156" w14:textId="63AD82EB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62,57%</w:t>
            </w:r>
          </w:p>
        </w:tc>
        <w:tc>
          <w:tcPr>
            <w:tcW w:w="1737" w:type="dxa"/>
            <w:noWrap/>
            <w:vAlign w:val="bottom"/>
          </w:tcPr>
          <w:p w14:paraId="0BF42598" w14:textId="1284667D" w:rsidR="00413329" w:rsidRPr="001069CF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59,48%</w:t>
            </w:r>
          </w:p>
        </w:tc>
        <w:tc>
          <w:tcPr>
            <w:tcW w:w="1736" w:type="dxa"/>
            <w:noWrap/>
          </w:tcPr>
          <w:p w14:paraId="3052F849" w14:textId="77777777" w:rsidR="00413329" w:rsidRPr="008A365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A0BC79B" w14:textId="77777777" w:rsidR="00413329" w:rsidRPr="008A365E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5B98837" w14:textId="77777777" w:rsidR="00CC100E" w:rsidRPr="008A365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8A365E" w14:paraId="0B63C376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9AB8EE1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59532F7" w14:textId="342A0B7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7D116C7" w14:textId="4CC3033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13329" w:rsidRPr="008A365E" w14:paraId="4BC23D2D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D4E4051" w14:textId="19EAF5FF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0E060A9E" w14:textId="43CA49E3" w:rsidR="00413329" w:rsidRPr="00820FEA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62,27%</w:t>
            </w:r>
          </w:p>
        </w:tc>
        <w:tc>
          <w:tcPr>
            <w:tcW w:w="2977" w:type="dxa"/>
            <w:vAlign w:val="bottom"/>
          </w:tcPr>
          <w:p w14:paraId="18D202CD" w14:textId="42815BE3" w:rsidR="00413329" w:rsidRPr="00820FEA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59,04%</w:t>
            </w:r>
          </w:p>
        </w:tc>
      </w:tr>
      <w:tr w:rsidR="00413329" w:rsidRPr="008A365E" w14:paraId="1DC1BB59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5B1C4DB" w14:textId="60ED4A0B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3FD9F9C6" w14:textId="77AEE5CF" w:rsidR="00413329" w:rsidRPr="00820FEA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62,57%</w:t>
            </w:r>
          </w:p>
        </w:tc>
        <w:tc>
          <w:tcPr>
            <w:tcW w:w="2977" w:type="dxa"/>
            <w:vAlign w:val="bottom"/>
          </w:tcPr>
          <w:p w14:paraId="284FF048" w14:textId="0BB327F2" w:rsidR="00413329" w:rsidRPr="00820FEA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59,48%</w:t>
            </w:r>
          </w:p>
        </w:tc>
      </w:tr>
    </w:tbl>
    <w:p w14:paraId="2C3CF9DC" w14:textId="77777777" w:rsidR="00CC100E" w:rsidRPr="008A365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8A365E" w14:paraId="39CFF955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A4A2D10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 totali del </w:t>
            </w:r>
            <w:r w:rsidRPr="008A365E">
              <w:rPr>
                <w:sz w:val="20"/>
                <w:szCs w:val="20"/>
              </w:rPr>
              <w:t>Mercato</w:t>
            </w:r>
          </w:p>
        </w:tc>
        <w:tc>
          <w:tcPr>
            <w:tcW w:w="2192" w:type="dxa"/>
            <w:vAlign w:val="center"/>
            <w:hideMark/>
          </w:tcPr>
          <w:p w14:paraId="4AAF84DF" w14:textId="0D07384F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4A89327B" w14:textId="7059D48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C627FDD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Variazione</w:t>
            </w:r>
          </w:p>
        </w:tc>
      </w:tr>
      <w:tr w:rsidR="00413329" w:rsidRPr="008A365E" w14:paraId="1718667B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A9D069F" w14:textId="27B467B2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7513EC4F" w14:textId="5AE57E2F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10.095.705.477</w:t>
            </w:r>
          </w:p>
        </w:tc>
        <w:tc>
          <w:tcPr>
            <w:tcW w:w="2460" w:type="dxa"/>
            <w:vAlign w:val="bottom"/>
          </w:tcPr>
          <w:p w14:paraId="185D77EE" w14:textId="3126C750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10.097.592.841</w:t>
            </w:r>
          </w:p>
        </w:tc>
        <w:tc>
          <w:tcPr>
            <w:tcW w:w="2259" w:type="dxa"/>
            <w:vAlign w:val="bottom"/>
          </w:tcPr>
          <w:p w14:paraId="54CEA839" w14:textId="37B913AA" w:rsidR="00413329" w:rsidRPr="00820FEA" w:rsidRDefault="00413329" w:rsidP="00413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</w:tr>
      <w:tr w:rsidR="00413329" w:rsidRPr="008A365E" w14:paraId="197C1732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E203302" w14:textId="46146F28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5451A1A7" w14:textId="52344529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1.143.756</w:t>
            </w:r>
          </w:p>
        </w:tc>
        <w:tc>
          <w:tcPr>
            <w:tcW w:w="2460" w:type="dxa"/>
            <w:vAlign w:val="bottom"/>
          </w:tcPr>
          <w:p w14:paraId="5AB359E9" w14:textId="3A4E1F05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1.060.188</w:t>
            </w:r>
          </w:p>
        </w:tc>
        <w:tc>
          <w:tcPr>
            <w:tcW w:w="2259" w:type="dxa"/>
            <w:vAlign w:val="bottom"/>
          </w:tcPr>
          <w:p w14:paraId="2D8D1C1C" w14:textId="6208D696" w:rsidR="00413329" w:rsidRPr="00820FEA" w:rsidRDefault="00413329" w:rsidP="0041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7,88%</w:t>
            </w:r>
          </w:p>
        </w:tc>
      </w:tr>
      <w:tr w:rsidR="00413329" w:rsidRPr="008A365E" w14:paraId="24918AC3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8929568" w14:textId="77777777" w:rsidR="00413329" w:rsidRPr="008A365E" w:rsidRDefault="00413329" w:rsidP="0041332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3A7A921F" w14:textId="081D152F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8.827</w:t>
            </w:r>
          </w:p>
        </w:tc>
        <w:tc>
          <w:tcPr>
            <w:tcW w:w="2460" w:type="dxa"/>
            <w:vAlign w:val="bottom"/>
          </w:tcPr>
          <w:p w14:paraId="0B4472DA" w14:textId="5EC253A3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9.524</w:t>
            </w:r>
          </w:p>
        </w:tc>
        <w:tc>
          <w:tcPr>
            <w:tcW w:w="2259" w:type="dxa"/>
            <w:vAlign w:val="bottom"/>
          </w:tcPr>
          <w:p w14:paraId="5BF6C287" w14:textId="77777777" w:rsidR="00413329" w:rsidRPr="00820FEA" w:rsidRDefault="00413329" w:rsidP="0041332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852CE2" w14:textId="77777777" w:rsidR="00CC100E" w:rsidRDefault="00CC100E" w:rsidP="00CC100E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ETFPLUS - </w:t>
      </w:r>
      <w:r w:rsidRPr="0025586E">
        <w:rPr>
          <w:color w:val="4F81BD" w:themeColor="accent1"/>
        </w:rPr>
        <w:t xml:space="preserve">CONTROVALORI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5617D655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8A365E" w14:paraId="40FC5DB5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B865B02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C5E5DA8" w14:textId="2979C0C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B3BA84E" w14:textId="6DC913F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6AB4B3F7" w14:textId="50A8734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38B8E85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42BD7A3" w14:textId="5BE76B9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E63E0" w:rsidRPr="008A365E" w14:paraId="4AB689A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A3CC43" w14:textId="35C9E354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22DFE236" w14:textId="1D22CD6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3,69%</w:t>
            </w:r>
          </w:p>
        </w:tc>
        <w:tc>
          <w:tcPr>
            <w:tcW w:w="1737" w:type="dxa"/>
            <w:noWrap/>
            <w:vAlign w:val="bottom"/>
          </w:tcPr>
          <w:p w14:paraId="01F5EA1E" w14:textId="5B2FCC7A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6,96%</w:t>
            </w:r>
          </w:p>
        </w:tc>
        <w:tc>
          <w:tcPr>
            <w:tcW w:w="1736" w:type="dxa"/>
            <w:noWrap/>
            <w:vAlign w:val="bottom"/>
          </w:tcPr>
          <w:p w14:paraId="522332BA" w14:textId="53C44427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-3,27%</w:t>
            </w:r>
          </w:p>
        </w:tc>
        <w:tc>
          <w:tcPr>
            <w:tcW w:w="1737" w:type="dxa"/>
            <w:noWrap/>
            <w:vAlign w:val="bottom"/>
          </w:tcPr>
          <w:p w14:paraId="2B5DDB65" w14:textId="2B77723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E63E0" w:rsidRPr="008A365E" w14:paraId="21AC246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7CBD54F" w14:textId="2065B752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41C32B64" w14:textId="79368A9E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2,30%</w:t>
            </w:r>
          </w:p>
        </w:tc>
        <w:tc>
          <w:tcPr>
            <w:tcW w:w="1737" w:type="dxa"/>
            <w:noWrap/>
            <w:vAlign w:val="bottom"/>
          </w:tcPr>
          <w:p w14:paraId="7764602F" w14:textId="3C70DAB1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60CAE881" w14:textId="5082858D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2,02%</w:t>
            </w:r>
          </w:p>
        </w:tc>
        <w:tc>
          <w:tcPr>
            <w:tcW w:w="1737" w:type="dxa"/>
            <w:noWrap/>
            <w:vAlign w:val="bottom"/>
          </w:tcPr>
          <w:p w14:paraId="63467966" w14:textId="3A4A567A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E63E0" w:rsidRPr="008A365E" w14:paraId="798DC76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FD8844" w14:textId="50E46182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061746B" w14:textId="647D943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1,60%</w:t>
            </w:r>
          </w:p>
        </w:tc>
        <w:tc>
          <w:tcPr>
            <w:tcW w:w="1737" w:type="dxa"/>
            <w:noWrap/>
            <w:vAlign w:val="bottom"/>
          </w:tcPr>
          <w:p w14:paraId="05BBECF0" w14:textId="40ACC41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1,18%</w:t>
            </w:r>
          </w:p>
        </w:tc>
        <w:tc>
          <w:tcPr>
            <w:tcW w:w="1736" w:type="dxa"/>
            <w:noWrap/>
            <w:vAlign w:val="bottom"/>
          </w:tcPr>
          <w:p w14:paraId="157D7248" w14:textId="3EEBC80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0895E563" w14:textId="766673C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63E0" w:rsidRPr="008A365E" w14:paraId="4E81BF5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279C59" w14:textId="5375CB47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DA5EBC2" w14:textId="69043F07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7" w:type="dxa"/>
            <w:noWrap/>
            <w:vAlign w:val="bottom"/>
          </w:tcPr>
          <w:p w14:paraId="21523AC2" w14:textId="62F2E062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1,70%</w:t>
            </w:r>
          </w:p>
        </w:tc>
        <w:tc>
          <w:tcPr>
            <w:tcW w:w="1736" w:type="dxa"/>
            <w:noWrap/>
            <w:vAlign w:val="bottom"/>
          </w:tcPr>
          <w:p w14:paraId="6AA4F0AD" w14:textId="1A96FE93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-0,73%</w:t>
            </w:r>
          </w:p>
        </w:tc>
        <w:tc>
          <w:tcPr>
            <w:tcW w:w="1737" w:type="dxa"/>
            <w:noWrap/>
            <w:vAlign w:val="bottom"/>
          </w:tcPr>
          <w:p w14:paraId="54B212A2" w14:textId="2DB10141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E63E0" w:rsidRPr="008A365E" w14:paraId="1D80AE2A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977647" w14:textId="7A89E8C3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67A168AB" w14:textId="17B36BF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0,93%</w:t>
            </w:r>
          </w:p>
        </w:tc>
        <w:tc>
          <w:tcPr>
            <w:tcW w:w="1737" w:type="dxa"/>
            <w:noWrap/>
            <w:vAlign w:val="bottom"/>
          </w:tcPr>
          <w:p w14:paraId="36395106" w14:textId="59429928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1,32%</w:t>
            </w:r>
          </w:p>
        </w:tc>
        <w:tc>
          <w:tcPr>
            <w:tcW w:w="1736" w:type="dxa"/>
            <w:noWrap/>
            <w:vAlign w:val="bottom"/>
          </w:tcPr>
          <w:p w14:paraId="4FE6120B" w14:textId="6AFA81F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-0,39%</w:t>
            </w:r>
          </w:p>
        </w:tc>
        <w:tc>
          <w:tcPr>
            <w:tcW w:w="1737" w:type="dxa"/>
            <w:noWrap/>
            <w:vAlign w:val="bottom"/>
          </w:tcPr>
          <w:p w14:paraId="484F190C" w14:textId="2759239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E63E0" w:rsidRPr="008A365E" w14:paraId="6635354B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A63BB3" w14:textId="21B84F79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04D35F1" w14:textId="36CD9E17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0,74%</w:t>
            </w:r>
          </w:p>
        </w:tc>
        <w:tc>
          <w:tcPr>
            <w:tcW w:w="1737" w:type="dxa"/>
            <w:noWrap/>
            <w:vAlign w:val="bottom"/>
          </w:tcPr>
          <w:p w14:paraId="6D1B3863" w14:textId="093696A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1,17%</w:t>
            </w:r>
          </w:p>
        </w:tc>
        <w:tc>
          <w:tcPr>
            <w:tcW w:w="1736" w:type="dxa"/>
            <w:noWrap/>
            <w:vAlign w:val="bottom"/>
          </w:tcPr>
          <w:p w14:paraId="484F2600" w14:textId="0E3D296E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-0,44%</w:t>
            </w:r>
          </w:p>
        </w:tc>
        <w:tc>
          <w:tcPr>
            <w:tcW w:w="1737" w:type="dxa"/>
            <w:noWrap/>
            <w:vAlign w:val="bottom"/>
          </w:tcPr>
          <w:p w14:paraId="1F71A78B" w14:textId="5B6B285E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E63E0" w:rsidRPr="008A365E" w14:paraId="2F55572B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4A681F" w14:textId="38F87BF6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B8939FE" w14:textId="2FB84FBB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7A8278BF" w14:textId="4CD777B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6" w:type="dxa"/>
            <w:noWrap/>
            <w:vAlign w:val="bottom"/>
          </w:tcPr>
          <w:p w14:paraId="7A5F2F6B" w14:textId="0118D64B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30AB1BC6" w14:textId="30E1A5CE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E63E0" w:rsidRPr="008A365E" w14:paraId="0C45B4A2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FDD719" w14:textId="5BA2B045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6031C90D" w14:textId="0B5123A5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7" w:type="dxa"/>
            <w:noWrap/>
            <w:vAlign w:val="bottom"/>
          </w:tcPr>
          <w:p w14:paraId="70FAD202" w14:textId="42D12132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61579235" w14:textId="6BF3541A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7" w:type="dxa"/>
            <w:noWrap/>
            <w:vAlign w:val="bottom"/>
          </w:tcPr>
          <w:p w14:paraId="7790E247" w14:textId="70EE5A96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E63E0" w:rsidRPr="008A365E" w14:paraId="6A2778A7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2F619F" w14:textId="03161120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59C1087F" w14:textId="009BAA02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7" w:type="dxa"/>
            <w:noWrap/>
            <w:vAlign w:val="bottom"/>
          </w:tcPr>
          <w:p w14:paraId="5D6FD404" w14:textId="6ED5B6B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26257C2A" w14:textId="17D0615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7" w:type="dxa"/>
            <w:noWrap/>
            <w:vAlign w:val="bottom"/>
          </w:tcPr>
          <w:p w14:paraId="07192184" w14:textId="30336155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E63E0" w:rsidRPr="008A365E" w14:paraId="45EB6B73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4C8540" w14:textId="3E29D717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DA08EEA" w14:textId="662D65B2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3397765C" w14:textId="76A33D6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6" w:type="dxa"/>
            <w:noWrap/>
            <w:vAlign w:val="bottom"/>
          </w:tcPr>
          <w:p w14:paraId="54A4689C" w14:textId="6F783751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24E038F" w14:textId="71EF0B98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E63E0" w:rsidRPr="008A365E" w14:paraId="29574E86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860732" w14:textId="7A9CB915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77CF02FF" w14:textId="69754600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5BB2D7F6" w14:textId="530B5314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6" w:type="dxa"/>
            <w:noWrap/>
            <w:vAlign w:val="bottom"/>
          </w:tcPr>
          <w:p w14:paraId="7713E4C9" w14:textId="747F0160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-0,62%</w:t>
            </w:r>
          </w:p>
        </w:tc>
        <w:tc>
          <w:tcPr>
            <w:tcW w:w="1737" w:type="dxa"/>
            <w:noWrap/>
            <w:vAlign w:val="bottom"/>
          </w:tcPr>
          <w:p w14:paraId="513CECDA" w14:textId="4764BB48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E63E0" w:rsidRPr="008A365E" w14:paraId="1A73CDEE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56C30AA" w14:textId="7E719949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7293B642" w14:textId="67128771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27C3ED47" w14:textId="4CE2F90E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22727478" w14:textId="3A79635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1BEAD180" w14:textId="5DE568A8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E63E0" w:rsidRPr="008A365E" w14:paraId="5E0FBC5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AFE04D" w14:textId="44ECE3A0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613CD6B1" w14:textId="4EE54EDC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760533A4" w14:textId="4E0F30A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409B17A2" w14:textId="37CB461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18E681D6" w14:textId="0C4DF4F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E63E0" w:rsidRPr="008A365E" w14:paraId="4189559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BA42E2" w14:textId="25BBA28A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30A49EAF" w14:textId="2A5756CF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36687D76" w14:textId="73AA1265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61A1E232" w14:textId="5E90ACA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1A6F7933" w14:textId="6F3CFF4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E63E0" w:rsidRPr="008A365E" w14:paraId="38A3AF1B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A6822A" w14:textId="12192001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2ADC5116" w14:textId="68ED939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11F8BF0" w14:textId="7D44D24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24852F4" w14:textId="54443C12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BA3092B" w14:textId="58C15AA0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E63E0" w:rsidRPr="008A365E" w14:paraId="5939A35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817BA4" w14:textId="0CBE8F09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47144CD" w14:textId="0581F6C2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86960FD" w14:textId="65E42393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DBA8EB2" w14:textId="7C35B9F5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90112C4" w14:textId="342BDA0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4E63E0" w:rsidRPr="008A365E" w14:paraId="0A5D82FD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3C6560" w14:textId="1156FE5B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F09D7C3" w14:textId="5168A00E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07A71D0C" w14:textId="35D11F5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1121A98" w14:textId="32AD0A4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E930CC4" w14:textId="33710BC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4E63E0" w:rsidRPr="008A365E" w14:paraId="0C3DA119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76D7D6" w14:textId="12DEC3E4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A4301DD" w14:textId="070DC471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7AB3BF2" w14:textId="3635E8E3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2F27A9C0" w14:textId="4D340B08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FA807BD" w14:textId="6097FF15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E63E0" w:rsidRPr="008A365E" w14:paraId="1735859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5A01D7" w14:textId="4221A5EA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F057311" w14:textId="1FE6E152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1C2479" w14:textId="775EBC0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65B012DE" w14:textId="08619146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ED0B17B" w14:textId="220EEDCB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E63E0" w:rsidRPr="008A365E" w14:paraId="07EB612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51C2E5" w14:textId="31C5438A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0AAEC661" w14:textId="77BCC0D9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DFD1C07" w14:textId="1F3F3C1F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2291981" w14:textId="57F22B54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DC41F24" w14:textId="00752CF5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E63E0" w:rsidRPr="008A365E" w14:paraId="7412646F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FBBE8E" w14:textId="2A4A54A6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3CA4B2B" w14:textId="009E2D24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2B27494" w14:textId="4F366BF9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32F484D" w14:textId="75D8FFE4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7F5999A" w14:textId="20DDC604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4E63E0" w:rsidRPr="008A365E" w14:paraId="185774DF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A3FF13" w14:textId="7702486A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2E7D1C0C" w14:textId="2DA0F6D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0A9CF48" w14:textId="132AFC37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5D81B0BE" w14:textId="731A767C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53665854" w14:textId="59406F34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E63E0" w:rsidRPr="008A365E" w14:paraId="16F682E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E2B4721" w14:textId="17F6F6FC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D54BF11" w14:textId="786DD3E5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732AF3E" w14:textId="2866FACB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E799C9D" w14:textId="11B0084E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A7A0AA0" w14:textId="293B418C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E63E0" w:rsidRPr="008A365E" w14:paraId="74161816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09A008" w14:textId="614E6DF3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2E4D15E5" w14:textId="18DCF82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E4DB480" w14:textId="70294AE2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612892F" w14:textId="7B2AA1F4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25C57C" w14:textId="2D941689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E63E0" w:rsidRPr="008A365E" w14:paraId="196C447D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A6EF85" w14:textId="25315A37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353F679B" w14:textId="715EBEA7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C76782E" w14:textId="5AC5023B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7ED5281" w14:textId="52F36B1F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682F7E0" w14:textId="5F616E5C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4E63E0" w:rsidRPr="008A365E" w14:paraId="3A27F4ED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8C297A" w14:textId="37D3A10E" w:rsidR="004E63E0" w:rsidRPr="00820FEA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412024C2" w14:textId="4CD6639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2EEE7C" w14:textId="57B65E1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87FD3E0" w14:textId="0A45270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AF0277F" w14:textId="19F5E1C6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4E63E0" w:rsidRPr="008A365E" w14:paraId="05247B2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EBEE02" w14:textId="08A8378D" w:rsidR="004E63E0" w:rsidRPr="00820FE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B168842" w14:textId="53DEC100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A763B66" w14:textId="78D9BAC3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4D16F59" w14:textId="4DF080AA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1A9AB7C" w14:textId="44536257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9C4" w:rsidRPr="008A365E" w14:paraId="24E58095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956F77" w14:textId="650229AA" w:rsidR="006369C4" w:rsidRPr="008A365E" w:rsidRDefault="006369C4" w:rsidP="006369C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6E2226F" w14:textId="0F4F01BB" w:rsidR="006369C4" w:rsidRPr="008A365E" w:rsidRDefault="006369C4" w:rsidP="006369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C500657" w14:textId="4D3898E9" w:rsidR="006369C4" w:rsidRPr="008A365E" w:rsidRDefault="006369C4" w:rsidP="006369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51027ED" w14:textId="7FCBEC63" w:rsidR="006369C4" w:rsidRPr="008A365E" w:rsidRDefault="006369C4" w:rsidP="006369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7D86D49" w14:textId="3867C3B6" w:rsidR="006369C4" w:rsidRPr="008A365E" w:rsidRDefault="006369C4" w:rsidP="006369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45D3C" w:rsidRPr="008A365E" w14:paraId="17601857" w14:textId="77777777" w:rsidTr="00D4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3829FA9" w14:textId="77777777" w:rsidR="00D45D3C" w:rsidRPr="008A365E" w:rsidRDefault="00D45D3C" w:rsidP="00D45D3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533CD78" w14:textId="0795883F" w:rsidR="00D45D3C" w:rsidRPr="008A365E" w:rsidRDefault="00D45D3C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F5E3B79" w14:textId="60ADD371" w:rsidR="00D45D3C" w:rsidRPr="008A365E" w:rsidRDefault="00D45D3C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D1C8AB7" w14:textId="77777777" w:rsidR="00D45D3C" w:rsidRPr="008A365E" w:rsidRDefault="00D45D3C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B026EC4" w14:textId="77777777" w:rsidR="00D45D3C" w:rsidRPr="008A365E" w:rsidRDefault="00D45D3C" w:rsidP="00D45D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4E6" w:rsidRPr="008A365E" w14:paraId="0FDE8B6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C9291DA" w14:textId="77777777" w:rsidR="00C674E6" w:rsidRPr="008A365E" w:rsidRDefault="00C674E6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F246A3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28CD160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493AF2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7674569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4E6" w:rsidRPr="008A365E" w14:paraId="4355DE0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9712CF" w14:textId="77777777" w:rsidR="00C674E6" w:rsidRPr="008A365E" w:rsidRDefault="00C674E6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B97CF9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BFC13E7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0946EA5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9656EBA" w14:textId="77777777" w:rsidR="00C674E6" w:rsidRPr="008A365E" w:rsidRDefault="00C674E6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3E0" w:rsidRPr="008A365E" w14:paraId="00149C7C" w14:textId="77777777" w:rsidTr="00636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0331073" w14:textId="77777777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520AF32D" w14:textId="0D4DD419" w:rsidR="004E63E0" w:rsidRPr="00D45D3C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13,22%</w:t>
            </w:r>
          </w:p>
        </w:tc>
        <w:tc>
          <w:tcPr>
            <w:tcW w:w="1737" w:type="dxa"/>
            <w:noWrap/>
            <w:vAlign w:val="bottom"/>
          </w:tcPr>
          <w:p w14:paraId="091FF8AA" w14:textId="7DCE7A87" w:rsidR="004E63E0" w:rsidRPr="00D45D3C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14,72%</w:t>
            </w:r>
          </w:p>
        </w:tc>
        <w:tc>
          <w:tcPr>
            <w:tcW w:w="1736" w:type="dxa"/>
            <w:noWrap/>
            <w:vAlign w:val="center"/>
          </w:tcPr>
          <w:p w14:paraId="2A935A24" w14:textId="77777777" w:rsidR="004E63E0" w:rsidRPr="008A365E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1F5DC62" w14:textId="77777777" w:rsidR="004E63E0" w:rsidRPr="008A365E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1C3DE58" w14:textId="77777777" w:rsidR="00CC100E" w:rsidRPr="008A365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8A365E" w14:paraId="38871CFA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235B0A2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0C61616" w14:textId="64AF76A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6A4A1EA9" w14:textId="311F8DD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E63E0" w:rsidRPr="008A365E" w14:paraId="228584CE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26F65A8" w14:textId="049B5031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69BB8C4" w14:textId="20F2F428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9,51%</w:t>
            </w:r>
          </w:p>
        </w:tc>
        <w:tc>
          <w:tcPr>
            <w:tcW w:w="2977" w:type="dxa"/>
            <w:vAlign w:val="bottom"/>
          </w:tcPr>
          <w:p w14:paraId="4F0C3622" w14:textId="238D5EED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12,34%</w:t>
            </w:r>
          </w:p>
        </w:tc>
      </w:tr>
      <w:tr w:rsidR="004E63E0" w:rsidRPr="008A365E" w14:paraId="5385BD7C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7448D21" w14:textId="7A835F5D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1BE710F8" w14:textId="017F6D03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12,46%</w:t>
            </w:r>
          </w:p>
        </w:tc>
        <w:tc>
          <w:tcPr>
            <w:tcW w:w="2977" w:type="dxa"/>
            <w:vAlign w:val="bottom"/>
          </w:tcPr>
          <w:p w14:paraId="0A82B5D1" w14:textId="1085C770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14,45%</w:t>
            </w:r>
          </w:p>
        </w:tc>
      </w:tr>
    </w:tbl>
    <w:p w14:paraId="4CC31E7B" w14:textId="77777777" w:rsidR="00CC100E" w:rsidRPr="008A365E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8A365E" w14:paraId="643B2FD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47525C1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D364B7B" w14:textId="1B310F21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36FA9CF4" w14:textId="566307F0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47640C5D" w14:textId="77777777" w:rsidR="00A635A4" w:rsidRPr="008A365E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Variazione</w:t>
            </w:r>
          </w:p>
        </w:tc>
      </w:tr>
      <w:tr w:rsidR="004E63E0" w:rsidRPr="008A365E" w14:paraId="40D2D568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DA62B35" w14:textId="77777777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Controvalori c/proprio</w:t>
            </w:r>
          </w:p>
        </w:tc>
        <w:tc>
          <w:tcPr>
            <w:tcW w:w="2192" w:type="dxa"/>
            <w:vAlign w:val="bottom"/>
          </w:tcPr>
          <w:p w14:paraId="7AD478A0" w14:textId="4C799307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79.231.638.038</w:t>
            </w:r>
          </w:p>
        </w:tc>
        <w:tc>
          <w:tcPr>
            <w:tcW w:w="2460" w:type="dxa"/>
            <w:vAlign w:val="bottom"/>
          </w:tcPr>
          <w:p w14:paraId="4424934D" w14:textId="6F0A504D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66.406.831.883</w:t>
            </w:r>
          </w:p>
        </w:tc>
        <w:tc>
          <w:tcPr>
            <w:tcW w:w="2259" w:type="dxa"/>
            <w:vAlign w:val="bottom"/>
          </w:tcPr>
          <w:p w14:paraId="4A33D082" w14:textId="79B7953A" w:rsidR="004E63E0" w:rsidRPr="00820FEA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19,31%</w:t>
            </w:r>
          </w:p>
        </w:tc>
      </w:tr>
      <w:tr w:rsidR="004E63E0" w:rsidRPr="008A365E" w14:paraId="27E3E24C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351C9E0" w14:textId="3F927333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23BA8113" w14:textId="12E4CAA2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2.812.004</w:t>
            </w:r>
          </w:p>
        </w:tc>
        <w:tc>
          <w:tcPr>
            <w:tcW w:w="2460" w:type="dxa"/>
            <w:vAlign w:val="bottom"/>
          </w:tcPr>
          <w:p w14:paraId="44F6828E" w14:textId="6E3E665D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2.618.213</w:t>
            </w:r>
          </w:p>
        </w:tc>
        <w:tc>
          <w:tcPr>
            <w:tcW w:w="2259" w:type="dxa"/>
            <w:vAlign w:val="bottom"/>
          </w:tcPr>
          <w:p w14:paraId="3FFB5475" w14:textId="6AEA02DB" w:rsidR="004E63E0" w:rsidRPr="00820FE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7,40%</w:t>
            </w:r>
          </w:p>
        </w:tc>
      </w:tr>
      <w:tr w:rsidR="004E63E0" w:rsidRPr="008A365E" w14:paraId="39052191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C6D569F" w14:textId="77777777" w:rsidR="004E63E0" w:rsidRPr="008A365E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A365E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39A109DF" w14:textId="2E7C7C2D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28.176</w:t>
            </w:r>
          </w:p>
        </w:tc>
        <w:tc>
          <w:tcPr>
            <w:tcW w:w="2460" w:type="dxa"/>
            <w:vAlign w:val="bottom"/>
          </w:tcPr>
          <w:p w14:paraId="72049071" w14:textId="78B4A47C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25.363</w:t>
            </w:r>
          </w:p>
        </w:tc>
        <w:tc>
          <w:tcPr>
            <w:tcW w:w="2259" w:type="dxa"/>
            <w:vAlign w:val="bottom"/>
          </w:tcPr>
          <w:p w14:paraId="3426367D" w14:textId="77777777" w:rsidR="004E63E0" w:rsidRPr="00820FEA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E58E72" w14:textId="77777777" w:rsidR="00CC100E" w:rsidRPr="00B2004F" w:rsidRDefault="00CC100E" w:rsidP="00F13F57">
      <w:pPr>
        <w:numPr>
          <w:ilvl w:val="0"/>
          <w:numId w:val="3"/>
        </w:numPr>
        <w:tabs>
          <w:tab w:val="left" w:pos="2340"/>
        </w:tabs>
        <w:contextualSpacing/>
        <w:jc w:val="both"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FUTURES SU INDICE</w:t>
      </w:r>
      <w:r w:rsidR="00BE3EDD">
        <w:rPr>
          <w:color w:val="4F81BD" w:themeColor="accent1"/>
        </w:rPr>
        <w:t xml:space="preserve"> - </w:t>
      </w:r>
      <w:r w:rsidR="0029301D">
        <w:rPr>
          <w:color w:val="4F81BD" w:themeColor="accent1"/>
        </w:rPr>
        <w:t xml:space="preserve">CONTRATTI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PRORPIO</w:t>
      </w:r>
    </w:p>
    <w:p w14:paraId="45966BED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D84DCA" w14:paraId="7135DABA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6B74C00" w14:textId="77777777" w:rsidR="00A635A4" w:rsidRPr="00D84DC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0EB5ADE" w14:textId="6A7C7FD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5009B955" w14:textId="7209148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017E50C" w14:textId="1DE68C3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3ABE265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492A2763" w14:textId="041919E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E63E0" w:rsidRPr="00D84DCA" w14:paraId="5C6EDD9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1502A3" w14:textId="5FEDE6E8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531304CD" w14:textId="44C032F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2,74%</w:t>
            </w:r>
          </w:p>
        </w:tc>
        <w:tc>
          <w:tcPr>
            <w:tcW w:w="1737" w:type="dxa"/>
            <w:noWrap/>
            <w:vAlign w:val="bottom"/>
          </w:tcPr>
          <w:p w14:paraId="1BAC014B" w14:textId="1C6F072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1,84%</w:t>
            </w:r>
          </w:p>
        </w:tc>
        <w:tc>
          <w:tcPr>
            <w:tcW w:w="1736" w:type="dxa"/>
            <w:noWrap/>
            <w:vAlign w:val="bottom"/>
          </w:tcPr>
          <w:p w14:paraId="30BA6567" w14:textId="6A72B84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7" w:type="dxa"/>
            <w:noWrap/>
            <w:vAlign w:val="bottom"/>
          </w:tcPr>
          <w:p w14:paraId="79D0DB02" w14:textId="4E13D2A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E63E0" w:rsidRPr="00D84DCA" w14:paraId="7A7312A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437485D" w14:textId="69855B95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7DFEA34" w14:textId="3C175A3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1,05%</w:t>
            </w:r>
          </w:p>
        </w:tc>
        <w:tc>
          <w:tcPr>
            <w:tcW w:w="1737" w:type="dxa"/>
            <w:noWrap/>
            <w:vAlign w:val="bottom"/>
          </w:tcPr>
          <w:p w14:paraId="6428C599" w14:textId="66EBD55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0,80%</w:t>
            </w:r>
          </w:p>
        </w:tc>
        <w:tc>
          <w:tcPr>
            <w:tcW w:w="1736" w:type="dxa"/>
            <w:noWrap/>
            <w:vAlign w:val="bottom"/>
          </w:tcPr>
          <w:p w14:paraId="0B317067" w14:textId="0063D4F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02B1CF87" w14:textId="10ED5B8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E63E0" w:rsidRPr="00D84DCA" w14:paraId="59DFBD2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A09699" w14:textId="7CDCF713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ABE4007" w14:textId="43FF827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1,02%</w:t>
            </w:r>
          </w:p>
        </w:tc>
        <w:tc>
          <w:tcPr>
            <w:tcW w:w="1737" w:type="dxa"/>
            <w:noWrap/>
            <w:vAlign w:val="bottom"/>
          </w:tcPr>
          <w:p w14:paraId="7FAB1B37" w14:textId="3C3D680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6" w:type="dxa"/>
            <w:noWrap/>
            <w:vAlign w:val="bottom"/>
          </w:tcPr>
          <w:p w14:paraId="6240028B" w14:textId="1ACB8E2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CAE682F" w14:textId="0E1888C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E63E0" w:rsidRPr="00D84DCA" w14:paraId="57EA8D0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69229D" w14:textId="5E44907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761D4E1" w14:textId="0765F77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7" w:type="dxa"/>
            <w:noWrap/>
            <w:vAlign w:val="bottom"/>
          </w:tcPr>
          <w:p w14:paraId="1F306853" w14:textId="6DD3AE2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6" w:type="dxa"/>
            <w:noWrap/>
            <w:vAlign w:val="bottom"/>
          </w:tcPr>
          <w:p w14:paraId="1F1EEE8D" w14:textId="6CCDF0A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00B26C1F" w14:textId="33961DB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E63E0" w:rsidRPr="00D84DCA" w14:paraId="2D90661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30D5A7" w14:textId="20FE0637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58814EFE" w14:textId="4C41299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0,82%</w:t>
            </w:r>
          </w:p>
        </w:tc>
        <w:tc>
          <w:tcPr>
            <w:tcW w:w="1737" w:type="dxa"/>
            <w:noWrap/>
            <w:vAlign w:val="bottom"/>
          </w:tcPr>
          <w:p w14:paraId="73C0529E" w14:textId="7AE4ABB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0,71%</w:t>
            </w:r>
          </w:p>
        </w:tc>
        <w:tc>
          <w:tcPr>
            <w:tcW w:w="1736" w:type="dxa"/>
            <w:noWrap/>
            <w:vAlign w:val="bottom"/>
          </w:tcPr>
          <w:p w14:paraId="342E6A44" w14:textId="319C77F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73AF77B6" w14:textId="5AB38C4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63E0" w:rsidRPr="00D84DCA" w14:paraId="092FD13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AA8769" w14:textId="3518A308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041979F3" w14:textId="0D3348B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0,66%</w:t>
            </w:r>
          </w:p>
        </w:tc>
        <w:tc>
          <w:tcPr>
            <w:tcW w:w="1737" w:type="dxa"/>
            <w:noWrap/>
            <w:vAlign w:val="bottom"/>
          </w:tcPr>
          <w:p w14:paraId="60681899" w14:textId="03787F8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0,46%</w:t>
            </w:r>
          </w:p>
        </w:tc>
        <w:tc>
          <w:tcPr>
            <w:tcW w:w="1736" w:type="dxa"/>
            <w:noWrap/>
            <w:vAlign w:val="bottom"/>
          </w:tcPr>
          <w:p w14:paraId="14847DB3" w14:textId="40C10D9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39D706E2" w14:textId="493473B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E63E0" w:rsidRPr="00D84DCA" w14:paraId="511561F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78E40D" w14:textId="7C47FCFB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5AD17062" w14:textId="70C130A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2FD13924" w14:textId="3E74601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0889F63E" w14:textId="1197421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2FB86C09" w14:textId="72CEA61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E63E0" w:rsidRPr="00D84DCA" w14:paraId="678E470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5D4D7A" w14:textId="7CC5F23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627212FE" w14:textId="50E9A3D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4D4F73AA" w14:textId="2E40093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7C150EFB" w14:textId="69AE31B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4EECA54C" w14:textId="5AB6E05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E63E0" w:rsidRPr="00D84DCA" w14:paraId="46C8342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479907" w14:textId="34C8A0A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DC6984E" w14:textId="0FC6F71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56CDBE5A" w14:textId="5F02D6F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2E0C709E" w14:textId="0AFDD43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2E4922C9" w14:textId="46C31FF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E63E0" w:rsidRPr="00D84DCA" w14:paraId="15C6206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85089F" w14:textId="46AD31D9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FA87070" w14:textId="7D5E2EB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0BEE46C4" w14:textId="213411D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4F1D8B05" w14:textId="659DC88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3B6B1309" w14:textId="71222E2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E63E0" w:rsidRPr="00D84DCA" w14:paraId="0809B22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D5EAFA" w14:textId="4751122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65A477AC" w14:textId="0C31BAA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718FEF40" w14:textId="6AD3899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39DA6E6D" w14:textId="5053352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0BCB0EF6" w14:textId="232B39B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E63E0" w:rsidRPr="00D84DCA" w14:paraId="33C92AA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048A9C" w14:textId="4C52EB5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44679F6" w14:textId="241A4C3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1EC18C70" w14:textId="1FEB4A0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023575C4" w14:textId="2084ADA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57F381D8" w14:textId="1D071D8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E63E0" w:rsidRPr="00D84DCA" w14:paraId="7A8D754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7769B84" w14:textId="3504F54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C38F60A" w14:textId="1A4161F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2043A45E" w14:textId="5958A9D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6" w:type="dxa"/>
            <w:noWrap/>
            <w:vAlign w:val="bottom"/>
          </w:tcPr>
          <w:p w14:paraId="5E056F9B" w14:textId="39782D7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-0,11%</w:t>
            </w:r>
          </w:p>
        </w:tc>
        <w:tc>
          <w:tcPr>
            <w:tcW w:w="1737" w:type="dxa"/>
            <w:noWrap/>
            <w:vAlign w:val="bottom"/>
          </w:tcPr>
          <w:p w14:paraId="119775C3" w14:textId="5274127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E63E0" w:rsidRPr="00D84DCA" w14:paraId="5A23F56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D84064" w14:textId="49F4D42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462B06E2" w14:textId="507B476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7BB3DBAC" w14:textId="246F7B4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3DFF51F1" w14:textId="63D967D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-0,06%</w:t>
            </w:r>
          </w:p>
        </w:tc>
        <w:tc>
          <w:tcPr>
            <w:tcW w:w="1737" w:type="dxa"/>
            <w:noWrap/>
            <w:vAlign w:val="bottom"/>
          </w:tcPr>
          <w:p w14:paraId="06F75928" w14:textId="2670EE5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E63E0" w:rsidRPr="00D84DCA" w14:paraId="7F06F32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8A27CB" w14:textId="5574F7B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3F255324" w14:textId="034F2AF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5F34EFE" w14:textId="0F2F8A7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22A219E" w14:textId="2DDFB71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5587ED8" w14:textId="7A7F151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E63E0" w:rsidRPr="00D84DCA" w14:paraId="38BA0E5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AAA1A4" w14:textId="7858EE3E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507EA44" w14:textId="06B8A71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B31CCE" w14:textId="74EF5D8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164C61B" w14:textId="1DE49A2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210C748" w14:textId="65FB93C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E63E0" w:rsidRPr="00D84DCA" w14:paraId="7B14237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C40840" w14:textId="7F61148D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7F7D5C62" w14:textId="4A5E6E9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74E1357" w14:textId="23C4889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948AE45" w14:textId="45B7FEF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45279B6" w14:textId="3EBE015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4E63E0" w:rsidRPr="00D84DCA" w14:paraId="66D2C22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A27396" w14:textId="1A46EAE9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49392107" w14:textId="2DAEA0D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B4D3B9" w14:textId="1F5E55A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72B334D" w14:textId="01084B2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F5BFBAB" w14:textId="3636B63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E63E0" w:rsidRPr="00D84DCA" w14:paraId="3AB79C2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6E8B96" w14:textId="6BF9EAB2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1EDCF49" w14:textId="6DAD9E3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B35FC8A" w14:textId="389C291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125E584" w14:textId="59E1CB6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5E2D950" w14:textId="4644D2A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E63E0" w:rsidRPr="00D84DCA" w14:paraId="0F6BE15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EEE9C0" w14:textId="59535A1D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588A3334" w14:textId="6DB502D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8DB4488" w14:textId="543BF3E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EE0EBCD" w14:textId="1B0915D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C2DB82" w14:textId="469713D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E63E0" w:rsidRPr="00D84DCA" w14:paraId="1094185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B1B681" w14:textId="2CE23225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4B34729" w14:textId="7CAA910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CBDB0A2" w14:textId="3689ABD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42E0E4B" w14:textId="5A92B7F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5E72C1D" w14:textId="49A85C8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E63E0" w:rsidRPr="00D84DCA" w14:paraId="6E04E23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76D092" w14:textId="5AF303DB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52C3A66" w14:textId="37E7CDB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CC907DC" w14:textId="52CBA13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73F7497" w14:textId="68F3F27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8688D63" w14:textId="71A9063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E63E0" w:rsidRPr="00D84DCA" w14:paraId="409AC58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6703E3" w14:textId="1FC3F590" w:rsidR="004E63E0" w:rsidRPr="00AD72A8" w:rsidRDefault="004E63E0" w:rsidP="004E63E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70D0664" w14:textId="1C83CE2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9BAE586" w14:textId="55E064B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2040C30" w14:textId="7F38A24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054645C" w14:textId="7600292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70B0" w:rsidRPr="00D84DCA" w14:paraId="7879BE1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97ECE4" w14:textId="34BEA699" w:rsidR="003670B0" w:rsidRPr="00AD72A8" w:rsidRDefault="003670B0" w:rsidP="003670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B678E77" w14:textId="064F8C1B" w:rsidR="003670B0" w:rsidRPr="00AD72A8" w:rsidRDefault="003670B0" w:rsidP="0036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ED14872" w14:textId="573423D5" w:rsidR="003670B0" w:rsidRPr="00AD72A8" w:rsidRDefault="003670B0" w:rsidP="0036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DD4EF65" w14:textId="764F31BD" w:rsidR="003670B0" w:rsidRPr="00AD72A8" w:rsidRDefault="003670B0" w:rsidP="0036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CF0AF16" w14:textId="03F2024F" w:rsidR="003670B0" w:rsidRPr="00AD72A8" w:rsidRDefault="003670B0" w:rsidP="0036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70B0" w:rsidRPr="00D84DCA" w14:paraId="46F71C5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7DCBFF" w14:textId="77777777" w:rsidR="003670B0" w:rsidRPr="00D84DCA" w:rsidRDefault="003670B0" w:rsidP="003670B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207E176" w14:textId="1FDE2512" w:rsidR="003670B0" w:rsidRPr="00AD72A8" w:rsidRDefault="003670B0" w:rsidP="003670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3612E08" w14:textId="4F703CED" w:rsidR="003670B0" w:rsidRPr="00AD72A8" w:rsidRDefault="003670B0" w:rsidP="003670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22FAB4C" w14:textId="77777777" w:rsidR="003670B0" w:rsidRPr="00D84DCA" w:rsidRDefault="003670B0" w:rsidP="003670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9CB4A88" w14:textId="77777777" w:rsidR="003670B0" w:rsidRPr="00D84DCA" w:rsidRDefault="003670B0" w:rsidP="003670B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027A118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1074D1D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0260FA6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F334366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CAD6FB4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A32975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34C4BF3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FFFE980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7AD8B7A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CC85BD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3362E7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A65F714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0C632DEB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AE77744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D75BF3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EF30A7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F2A330F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0F5AFBA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402A4FA3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3E53E73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99B6D1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0073F20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10D883D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306F4A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53FA4DD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23DED51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CC612BF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5C9E675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D9ACB67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67A1166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0E" w:rsidRPr="00D84DCA" w14:paraId="42F7A17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48A395B" w14:textId="77777777" w:rsidR="00CC100E" w:rsidRPr="00D84DCA" w:rsidRDefault="00CC100E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5C72DA1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52E3D99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9FDF4B2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EA10989" w14:textId="77777777" w:rsidR="00CC100E" w:rsidRPr="00D84DCA" w:rsidRDefault="00CC100E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3E0" w:rsidRPr="00D84DCA" w14:paraId="1FD542D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0F92945" w14:textId="77777777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1B0FEE7" w14:textId="32A8DB05" w:rsidR="004E63E0" w:rsidRPr="00D84DC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8,02%</w:t>
            </w:r>
          </w:p>
        </w:tc>
        <w:tc>
          <w:tcPr>
            <w:tcW w:w="1737" w:type="dxa"/>
            <w:noWrap/>
            <w:vAlign w:val="bottom"/>
          </w:tcPr>
          <w:p w14:paraId="5E2FBEA8" w14:textId="12E7151A" w:rsidR="004E63E0" w:rsidRPr="00D84DCA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6,23%</w:t>
            </w:r>
          </w:p>
        </w:tc>
        <w:tc>
          <w:tcPr>
            <w:tcW w:w="1736" w:type="dxa"/>
            <w:noWrap/>
            <w:vAlign w:val="center"/>
          </w:tcPr>
          <w:p w14:paraId="68B20B98" w14:textId="77777777" w:rsidR="004E63E0" w:rsidRPr="00D84DCA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173BAE3" w14:textId="77777777" w:rsidR="004E63E0" w:rsidRPr="00D84DCA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3716082" w14:textId="77777777" w:rsidR="00CC100E" w:rsidRPr="00D84DCA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D84DCA" w14:paraId="0CF99102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F903C7C" w14:textId="77777777" w:rsidR="00A635A4" w:rsidRPr="00D84DC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1B6D320C" w14:textId="217AFC7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4725B766" w14:textId="3C9A64D5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E63E0" w:rsidRPr="00D84DCA" w14:paraId="59B4A630" w14:textId="77777777" w:rsidTr="0063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D3CC21B" w14:textId="76C64461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EEF717A" w14:textId="24A81A8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6,53%</w:t>
            </w:r>
          </w:p>
        </w:tc>
        <w:tc>
          <w:tcPr>
            <w:tcW w:w="2977" w:type="dxa"/>
            <w:vAlign w:val="bottom"/>
          </w:tcPr>
          <w:p w14:paraId="42E15632" w14:textId="600DDAD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4,96%</w:t>
            </w:r>
          </w:p>
        </w:tc>
      </w:tr>
      <w:tr w:rsidR="004E63E0" w:rsidRPr="00D84DCA" w14:paraId="7572FB38" w14:textId="77777777" w:rsidTr="006369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2585A1B" w14:textId="13E62D59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1285690C" w14:textId="0E9186B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7,76%</w:t>
            </w:r>
          </w:p>
        </w:tc>
        <w:tc>
          <w:tcPr>
            <w:tcW w:w="2977" w:type="dxa"/>
            <w:vAlign w:val="bottom"/>
          </w:tcPr>
          <w:p w14:paraId="231B9D6C" w14:textId="7FE9995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6,03%</w:t>
            </w:r>
          </w:p>
        </w:tc>
      </w:tr>
    </w:tbl>
    <w:p w14:paraId="571C7C04" w14:textId="77777777" w:rsidR="00CC100E" w:rsidRPr="00D84DCA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D84DCA" w14:paraId="0D862484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ACE9C36" w14:textId="77777777" w:rsidR="00A635A4" w:rsidRPr="00D84DC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34BBFFF" w14:textId="0DEC370A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C11878E" w14:textId="6559AB4D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778A3E54" w14:textId="77777777" w:rsidR="00A635A4" w:rsidRPr="00D84DCA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Variazione</w:t>
            </w:r>
          </w:p>
        </w:tc>
      </w:tr>
      <w:tr w:rsidR="004E63E0" w:rsidRPr="00D84DCA" w14:paraId="696484E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E338323" w14:textId="77777777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Contratti c/proprio</w:t>
            </w:r>
          </w:p>
        </w:tc>
        <w:tc>
          <w:tcPr>
            <w:tcW w:w="2192" w:type="dxa"/>
            <w:vAlign w:val="bottom"/>
          </w:tcPr>
          <w:p w14:paraId="493AD5D8" w14:textId="6AEFC336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5.688.636</w:t>
            </w:r>
          </w:p>
        </w:tc>
        <w:tc>
          <w:tcPr>
            <w:tcW w:w="2460" w:type="dxa"/>
            <w:vAlign w:val="bottom"/>
          </w:tcPr>
          <w:p w14:paraId="712A8A52" w14:textId="0B20EFF2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4.929.137</w:t>
            </w:r>
          </w:p>
        </w:tc>
        <w:tc>
          <w:tcPr>
            <w:tcW w:w="2259" w:type="dxa"/>
            <w:vAlign w:val="bottom"/>
          </w:tcPr>
          <w:p w14:paraId="0809573D" w14:textId="09A1DE2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15,41%</w:t>
            </w:r>
          </w:p>
        </w:tc>
      </w:tr>
      <w:tr w:rsidR="004E63E0" w:rsidRPr="00D84DCA" w14:paraId="02CB8F15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04C0955" w14:textId="43178CA7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100ED32E" w14:textId="21D50DDC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4.261.627</w:t>
            </w:r>
          </w:p>
        </w:tc>
        <w:tc>
          <w:tcPr>
            <w:tcW w:w="2460" w:type="dxa"/>
            <w:vAlign w:val="bottom"/>
          </w:tcPr>
          <w:p w14:paraId="23C84243" w14:textId="05817C87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3.606.677</w:t>
            </w:r>
          </w:p>
        </w:tc>
        <w:tc>
          <w:tcPr>
            <w:tcW w:w="2259" w:type="dxa"/>
            <w:vAlign w:val="bottom"/>
          </w:tcPr>
          <w:p w14:paraId="54A2C0CE" w14:textId="5393051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18,16%</w:t>
            </w:r>
          </w:p>
        </w:tc>
      </w:tr>
      <w:tr w:rsidR="004E63E0" w:rsidRPr="00D84DCA" w14:paraId="20D69A5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63CCFDA" w14:textId="77777777" w:rsidR="004E63E0" w:rsidRPr="00D84DCA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84DCA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75FEB303" w14:textId="4A36DFC1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2460" w:type="dxa"/>
            <w:vAlign w:val="bottom"/>
          </w:tcPr>
          <w:p w14:paraId="4726829C" w14:textId="3632C2E2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1,37</w:t>
            </w:r>
          </w:p>
        </w:tc>
        <w:tc>
          <w:tcPr>
            <w:tcW w:w="2259" w:type="dxa"/>
            <w:vAlign w:val="bottom"/>
          </w:tcPr>
          <w:p w14:paraId="2B6D72B7" w14:textId="77777777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ECD15A" w14:textId="77777777" w:rsidR="00CC100E" w:rsidRDefault="00CC100E" w:rsidP="00F13F57">
      <w:pPr>
        <w:numPr>
          <w:ilvl w:val="0"/>
          <w:numId w:val="3"/>
        </w:numPr>
        <w:tabs>
          <w:tab w:val="left" w:pos="2340"/>
        </w:tabs>
        <w:contextualSpacing/>
        <w:jc w:val="both"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MINI FUTURES SU INDICE</w:t>
      </w:r>
      <w:r w:rsidR="00BE3EDD">
        <w:rPr>
          <w:color w:val="4F81BD" w:themeColor="accent1"/>
        </w:rPr>
        <w:t xml:space="preserve"> - </w:t>
      </w:r>
      <w:r w:rsidR="0029301D">
        <w:rPr>
          <w:color w:val="4F81BD" w:themeColor="accent1"/>
        </w:rPr>
        <w:t>CONTRATTI</w:t>
      </w:r>
      <w:r w:rsidR="0029301D" w:rsidRPr="004251B7">
        <w:rPr>
          <w:color w:val="4F81BD" w:themeColor="accent1"/>
        </w:rPr>
        <w:t xml:space="preserve">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 w:rsidR="00687BBD">
        <w:rPr>
          <w:color w:val="4F81BD" w:themeColor="accent1"/>
        </w:rPr>
        <w:t>PROPRIO</w:t>
      </w:r>
    </w:p>
    <w:p w14:paraId="0F28554C" w14:textId="77777777" w:rsidR="00687BBD" w:rsidRPr="00B2004F" w:rsidRDefault="00687BBD" w:rsidP="00687BBD">
      <w:pPr>
        <w:tabs>
          <w:tab w:val="left" w:pos="2340"/>
        </w:tabs>
        <w:contextualSpacing/>
        <w:jc w:val="both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541F92" w14:paraId="3818156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195CF1CB" w14:textId="77777777" w:rsidR="00A635A4" w:rsidRPr="00541F92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DB4C088" w14:textId="1A28EC5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A4AD555" w14:textId="4911EC3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63E6F2FF" w14:textId="532C060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6695FCD7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203D53C" w14:textId="2311B51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E63E0" w:rsidRPr="00541F92" w14:paraId="2CCB379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FA93AC" w14:textId="2D6D59FA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DFFF33E" w14:textId="57218E3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6,06%</w:t>
            </w:r>
          </w:p>
        </w:tc>
        <w:tc>
          <w:tcPr>
            <w:tcW w:w="1737" w:type="dxa"/>
            <w:noWrap/>
            <w:vAlign w:val="bottom"/>
          </w:tcPr>
          <w:p w14:paraId="1F236F7C" w14:textId="3D595E8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4,31%</w:t>
            </w:r>
          </w:p>
        </w:tc>
        <w:tc>
          <w:tcPr>
            <w:tcW w:w="1736" w:type="dxa"/>
            <w:noWrap/>
            <w:vAlign w:val="bottom"/>
          </w:tcPr>
          <w:p w14:paraId="2D78B958" w14:textId="288CEBC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7" w:type="dxa"/>
            <w:noWrap/>
            <w:vAlign w:val="bottom"/>
          </w:tcPr>
          <w:p w14:paraId="0B6B41E2" w14:textId="413E706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E63E0" w:rsidRPr="00541F92" w14:paraId="7620E73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1FA5EC" w14:textId="136C3A2E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82D05F5" w14:textId="3A00A0B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524A5CD2" w14:textId="4523956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9D7D5CF" w14:textId="01277E5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383220CB" w14:textId="632694F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E63E0" w:rsidRPr="00541F92" w14:paraId="5249D74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53BA51" w14:textId="5A2E8F6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21FA73F" w14:textId="473FE0B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635FCBFD" w14:textId="789BDFA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6D219A46" w14:textId="0EE1204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D2868D0" w14:textId="6DA1212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E63E0" w:rsidRPr="00541F92" w14:paraId="706E2BF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D52904" w14:textId="5982E18A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0D937751" w14:textId="0D13407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D551173" w14:textId="369D5DE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38B5D5D" w14:textId="4E27B7F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489AAE7" w14:textId="64C8504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E63E0" w:rsidRPr="00541F92" w14:paraId="65A8BE6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99B0F2" w14:textId="73BD52D7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1C260477" w14:textId="411FFD2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98606D1" w14:textId="033F0B7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5C08BF8" w14:textId="24A6E53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C66F4D" w14:textId="31B334F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E63E0" w:rsidRPr="00541F92" w14:paraId="7715B22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59C6E2D" w14:textId="4302A52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D3B6D25" w14:textId="57863AA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BD6F224" w14:textId="5384298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01436C7" w14:textId="103AD1C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286591F" w14:textId="3B8D903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E63E0" w:rsidRPr="00541F92" w14:paraId="19F8FEF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66095B5" w14:textId="40E14852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125BFDD3" w14:textId="1DA0453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253C8D" w14:textId="288AFC4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590D034" w14:textId="76FD38A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F9032C8" w14:textId="6B748C4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E63E0" w:rsidRPr="00541F92" w14:paraId="76C210C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5A418C" w14:textId="71377A8E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19135FC" w14:textId="78657AE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AD0B8C6" w14:textId="6829616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44D5CF3" w14:textId="168AE37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6F381A8" w14:textId="694542C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E63E0" w:rsidRPr="00541F92" w14:paraId="79C0529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09865F" w14:textId="211F40AE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E749E4A" w14:textId="4701272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AE94410" w14:textId="1247079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1E50914" w14:textId="49FBD7B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A9A3A6E" w14:textId="5D8F84D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E63E0" w:rsidRPr="00541F92" w14:paraId="242526ED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2D79BE" w14:textId="65E7DB29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5A456DA" w14:textId="0ACF906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A4A118" w14:textId="57E4B25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22C4DC87" w14:textId="7B99858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54CF378" w14:textId="4BA5279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4E63E0" w:rsidRPr="00541F92" w14:paraId="2BF7579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530DF7" w14:textId="19EBF278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D4B9B97" w14:textId="0BC1A4B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89CC80B" w14:textId="1ED7A52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1B3462E" w14:textId="51E8230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983A0A" w14:textId="5195D86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E63E0" w:rsidRPr="00541F92" w14:paraId="45F7580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E914E6" w14:textId="7C9AEA96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6AD3A6DA" w14:textId="5E26652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4B4D73B" w14:textId="0203F30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8B1CAC6" w14:textId="6C8EDCD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7BCEDB1" w14:textId="3FBAC54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E63E0" w:rsidRPr="00541F92" w14:paraId="314B587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F8A4EA" w14:textId="7B2FF75B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9DB6A78" w14:textId="7A315CD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1903FAE" w14:textId="52C3647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5E7D7FD" w14:textId="2CF22AA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A5606AF" w14:textId="615A56E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E63E0" w:rsidRPr="00541F92" w14:paraId="2A5E9B1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8EA959" w14:textId="61C5A646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603916D" w14:textId="7688C60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1EED11F" w14:textId="7821413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1D979E3" w14:textId="2ED0035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F25DB66" w14:textId="7D1D268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E63E0" w:rsidRPr="00541F92" w14:paraId="7EF148A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71972F" w14:textId="625AED0A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2C18BEA" w14:textId="5544923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6215F6F" w14:textId="42AB26C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956ED7C" w14:textId="3AFC248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6E15E74" w14:textId="7611D5E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E63E0" w:rsidRPr="00541F92" w14:paraId="1B02D58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7D1792" w14:textId="254926F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EFDFAE8" w14:textId="02679B6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08F58F8" w14:textId="5BC2A76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654EEE5" w14:textId="559DB99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35DA7FF" w14:textId="1EE6DC0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E63E0" w:rsidRPr="00541F92" w14:paraId="7601ACE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C75BFC" w14:textId="19930B0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920C39D" w14:textId="3919C36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8FD3B8C" w14:textId="2C6A66C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5E237B5" w14:textId="08F53BF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2801064" w14:textId="4309D5C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63E0" w:rsidRPr="00541F92" w14:paraId="66A1C05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5345A8" w14:textId="6B5C3BB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AA3FDCB" w14:textId="4C6AD8C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04C44B1" w14:textId="3A0C391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8F3FC03" w14:textId="01F6200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317E465" w14:textId="5A37D17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E63E0" w:rsidRPr="00541F92" w14:paraId="0834C42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5CDF03" w14:textId="2A6B6DB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3E45746" w14:textId="765BF74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9F4E276" w14:textId="4129CEF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2A08E08" w14:textId="7BF666F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4756F1E" w14:textId="36D8441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E63E0" w:rsidRPr="00541F92" w14:paraId="1DA3369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56702C" w14:textId="21B992C2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E1A3DEB" w14:textId="673FD2D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FC65CF9" w14:textId="1689B04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77E9BF5B" w14:textId="3B3C193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5D5EEC7C" w14:textId="0B9F234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E63E0" w:rsidRPr="00541F92" w14:paraId="502EC08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7183F7" w14:textId="7319104A" w:rsidR="004E63E0" w:rsidRPr="00541F92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2E0570D" w14:textId="2392DB40" w:rsidR="004E63E0" w:rsidRPr="00541F92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37849AA" w14:textId="53F1DD2C" w:rsidR="004E63E0" w:rsidRPr="00541F92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8AEE497" w14:textId="00BEC04C" w:rsidR="004E63E0" w:rsidRPr="00541F92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8842291" w14:textId="30E3D8E2" w:rsidR="004E63E0" w:rsidRPr="00541F92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E63E0" w:rsidRPr="00541F92" w14:paraId="659267F3" w14:textId="77777777" w:rsidTr="004E6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9C1F08" w14:textId="77777777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C5F4DA5" w14:textId="53A12ED7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F32A7AD" w14:textId="279D2BAC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557980E" w14:textId="77777777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C70FC79" w14:textId="77777777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2A8" w:rsidRPr="00541F92" w14:paraId="5B47736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CAAC5BF" w14:textId="77777777" w:rsidR="00AD72A8" w:rsidRPr="00541F92" w:rsidRDefault="00AD72A8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70FC83" w14:textId="525DA333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F941C68" w14:textId="13DE4DDC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012B480" w14:textId="77777777" w:rsidR="00AD72A8" w:rsidRPr="00541F92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8A3497F" w14:textId="77777777" w:rsidR="00AD72A8" w:rsidRPr="00541F92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19816146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F238EA9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224CB7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89ED83F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DAA2F5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EAA6213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032593C6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37D8357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12449F7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8366CC2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AF73B1F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A3FCC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6E614EB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3A2C3DB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64099DB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5B2341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642D0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20837F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1B0F504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615A96F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11D0FB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E8AF5DD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4070078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BA9C59F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685069B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587CD19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D403FC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1A9B477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7CEB83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163AF80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109974B1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FF53FE4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EA0F707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031A247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B2B7CB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5C93A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7D4F4113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A1E69EA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BD21804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5F01B6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584955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10238F0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3F57" w:rsidRPr="00541F92" w14:paraId="7A2C82E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48079B3" w14:textId="77777777" w:rsidR="00F13F57" w:rsidRPr="00541F92" w:rsidRDefault="00F13F57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C9B559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83EF1B2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1CB15C0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0E49A7" w14:textId="77777777" w:rsidR="00F13F57" w:rsidRPr="00541F92" w:rsidRDefault="00F13F57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3E0" w:rsidRPr="00541F92" w14:paraId="47F9E8C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8A5CB48" w14:textId="77777777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B743F08" w14:textId="19AD096E" w:rsidR="004E63E0" w:rsidRPr="00541F92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6,11%</w:t>
            </w:r>
          </w:p>
        </w:tc>
        <w:tc>
          <w:tcPr>
            <w:tcW w:w="1737" w:type="dxa"/>
            <w:noWrap/>
            <w:vAlign w:val="bottom"/>
          </w:tcPr>
          <w:p w14:paraId="25A2E063" w14:textId="1E4F8586" w:rsidR="004E63E0" w:rsidRPr="00541F92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4,37%</w:t>
            </w:r>
          </w:p>
        </w:tc>
        <w:tc>
          <w:tcPr>
            <w:tcW w:w="1736" w:type="dxa"/>
            <w:noWrap/>
            <w:vAlign w:val="center"/>
          </w:tcPr>
          <w:p w14:paraId="7486FE91" w14:textId="77777777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9E10140" w14:textId="77777777" w:rsidR="004E63E0" w:rsidRPr="00541F92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9636C10" w14:textId="77777777" w:rsidR="00CC100E" w:rsidRPr="00541F92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541F92" w14:paraId="1270865D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63578E1" w14:textId="77777777" w:rsidR="00A635A4" w:rsidRPr="00541F92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C6B2C20" w14:textId="17926916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1688A00B" w14:textId="42C8A42B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E63E0" w:rsidRPr="00541F92" w14:paraId="26B7F40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1DF5264" w14:textId="04A60811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6F686712" w14:textId="0C37B58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6,11%</w:t>
            </w:r>
          </w:p>
        </w:tc>
        <w:tc>
          <w:tcPr>
            <w:tcW w:w="2977" w:type="dxa"/>
            <w:vAlign w:val="bottom"/>
          </w:tcPr>
          <w:p w14:paraId="134705D8" w14:textId="503CC42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4,37%</w:t>
            </w:r>
          </w:p>
        </w:tc>
      </w:tr>
      <w:tr w:rsidR="004E63E0" w:rsidRPr="00541F92" w14:paraId="2746A446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A199219" w14:textId="2C80B256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4206B5F4" w14:textId="463DF58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6,11%</w:t>
            </w:r>
          </w:p>
        </w:tc>
        <w:tc>
          <w:tcPr>
            <w:tcW w:w="2977" w:type="dxa"/>
            <w:vAlign w:val="bottom"/>
          </w:tcPr>
          <w:p w14:paraId="167F28A3" w14:textId="5200B1A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4,37%</w:t>
            </w:r>
          </w:p>
        </w:tc>
      </w:tr>
    </w:tbl>
    <w:p w14:paraId="5C18C79A" w14:textId="77777777" w:rsidR="00CC100E" w:rsidRPr="00541F92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541F92" w14:paraId="3CF6086B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DAE454C" w14:textId="77777777" w:rsidR="00A635A4" w:rsidRPr="00541F92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1A55318" w14:textId="4B892EF3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E719B6F" w14:textId="31AEFA1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764B164" w14:textId="77777777" w:rsidR="00A635A4" w:rsidRPr="00541F92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Variazione</w:t>
            </w:r>
          </w:p>
        </w:tc>
      </w:tr>
      <w:tr w:rsidR="004E63E0" w:rsidRPr="00541F92" w14:paraId="6AACCA3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5ADC876" w14:textId="77777777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Contratti c/proprio</w:t>
            </w:r>
          </w:p>
        </w:tc>
        <w:tc>
          <w:tcPr>
            <w:tcW w:w="2192" w:type="dxa"/>
            <w:vAlign w:val="bottom"/>
          </w:tcPr>
          <w:p w14:paraId="36F03DAB" w14:textId="0296B9BB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3.006.740</w:t>
            </w:r>
          </w:p>
        </w:tc>
        <w:tc>
          <w:tcPr>
            <w:tcW w:w="2460" w:type="dxa"/>
            <w:vAlign w:val="bottom"/>
          </w:tcPr>
          <w:p w14:paraId="397AAB0E" w14:textId="6B5FF3BA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2.244.253</w:t>
            </w:r>
          </w:p>
        </w:tc>
        <w:tc>
          <w:tcPr>
            <w:tcW w:w="2259" w:type="dxa"/>
            <w:vAlign w:val="bottom"/>
          </w:tcPr>
          <w:p w14:paraId="3200FB13" w14:textId="5B161AA3" w:rsidR="004E63E0" w:rsidRPr="00B73EB0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33,98%</w:t>
            </w:r>
          </w:p>
        </w:tc>
      </w:tr>
      <w:tr w:rsidR="004E63E0" w:rsidRPr="00541F92" w14:paraId="7858E193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1D6704F" w14:textId="752906A6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1A9F2F63" w14:textId="7A08B78D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2.545.922</w:t>
            </w:r>
          </w:p>
        </w:tc>
        <w:tc>
          <w:tcPr>
            <w:tcW w:w="2460" w:type="dxa"/>
            <w:vAlign w:val="bottom"/>
          </w:tcPr>
          <w:p w14:paraId="67E9B4A5" w14:textId="3B76A258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1.788.963</w:t>
            </w:r>
          </w:p>
        </w:tc>
        <w:tc>
          <w:tcPr>
            <w:tcW w:w="2259" w:type="dxa"/>
            <w:vAlign w:val="bottom"/>
          </w:tcPr>
          <w:p w14:paraId="0BC3F9F5" w14:textId="513EE934" w:rsidR="004E63E0" w:rsidRPr="00B73EB0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42,31%</w:t>
            </w:r>
          </w:p>
        </w:tc>
      </w:tr>
      <w:tr w:rsidR="004E63E0" w:rsidRPr="00541F92" w14:paraId="1E231FB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4D2BFBD" w14:textId="77777777" w:rsidR="004E63E0" w:rsidRPr="00541F92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541F92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2412688A" w14:textId="7585448F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1,18</w:t>
            </w:r>
          </w:p>
        </w:tc>
        <w:tc>
          <w:tcPr>
            <w:tcW w:w="2460" w:type="dxa"/>
            <w:vAlign w:val="bottom"/>
          </w:tcPr>
          <w:p w14:paraId="7141366B" w14:textId="14A40588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1,25</w:t>
            </w:r>
          </w:p>
        </w:tc>
        <w:tc>
          <w:tcPr>
            <w:tcW w:w="2259" w:type="dxa"/>
            <w:vAlign w:val="bottom"/>
          </w:tcPr>
          <w:p w14:paraId="6DD1A13A" w14:textId="77777777" w:rsidR="004E63E0" w:rsidRPr="00B73EB0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4855E44" w14:textId="77777777" w:rsidR="00687BBD" w:rsidRDefault="00687BBD" w:rsidP="00687BBD">
      <w:pPr>
        <w:numPr>
          <w:ilvl w:val="0"/>
          <w:numId w:val="3"/>
        </w:numPr>
        <w:tabs>
          <w:tab w:val="left" w:pos="2340"/>
        </w:tabs>
        <w:contextualSpacing/>
        <w:jc w:val="both"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OPZIONI SU INDICE</w:t>
      </w:r>
      <w:r w:rsidR="00BB40C2">
        <w:rPr>
          <w:color w:val="4F81BD" w:themeColor="accent1"/>
        </w:rPr>
        <w:t xml:space="preserve"> - </w:t>
      </w:r>
      <w:r w:rsidR="0029301D">
        <w:rPr>
          <w:color w:val="4F81BD" w:themeColor="accent1"/>
        </w:rPr>
        <w:t>CONTRATTI</w:t>
      </w:r>
      <w:r w:rsidR="0029301D" w:rsidRPr="004251B7">
        <w:rPr>
          <w:color w:val="4F81BD" w:themeColor="accent1"/>
        </w:rPr>
        <w:t xml:space="preserve">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PROPRIO</w:t>
      </w:r>
    </w:p>
    <w:p w14:paraId="4B7E30EB" w14:textId="77777777" w:rsidR="00CC100E" w:rsidRDefault="00CC100E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C94C6D" w14:paraId="7C136E6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3277585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BD45A76" w14:textId="663EA50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C9F5753" w14:textId="09732EF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7E61207" w14:textId="249391D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1C13575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6357697" w14:textId="6C2C68B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E63E0" w:rsidRPr="00C94C6D" w14:paraId="2ACCF89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8010E9" w14:textId="4BFAB02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1C156EDF" w14:textId="6B43ADD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7,88%</w:t>
            </w:r>
          </w:p>
        </w:tc>
        <w:tc>
          <w:tcPr>
            <w:tcW w:w="1737" w:type="dxa"/>
            <w:noWrap/>
            <w:vAlign w:val="bottom"/>
          </w:tcPr>
          <w:p w14:paraId="7D4B2BA3" w14:textId="1E6FFDE0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8,67%</w:t>
            </w:r>
          </w:p>
        </w:tc>
        <w:tc>
          <w:tcPr>
            <w:tcW w:w="1736" w:type="dxa"/>
            <w:noWrap/>
            <w:vAlign w:val="bottom"/>
          </w:tcPr>
          <w:p w14:paraId="47D6091F" w14:textId="496B30D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-0,79%</w:t>
            </w:r>
          </w:p>
        </w:tc>
        <w:tc>
          <w:tcPr>
            <w:tcW w:w="1737" w:type="dxa"/>
            <w:noWrap/>
            <w:vAlign w:val="bottom"/>
          </w:tcPr>
          <w:p w14:paraId="7928BC4E" w14:textId="303DD0B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E63E0" w:rsidRPr="00C94C6D" w14:paraId="283A8F6D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68B2D0" w14:textId="4E7C0AAA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FA08AC4" w14:textId="07B1F8F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4,27%</w:t>
            </w:r>
          </w:p>
        </w:tc>
        <w:tc>
          <w:tcPr>
            <w:tcW w:w="1737" w:type="dxa"/>
            <w:noWrap/>
            <w:vAlign w:val="bottom"/>
          </w:tcPr>
          <w:p w14:paraId="1CF83355" w14:textId="51A91A6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3,96%</w:t>
            </w:r>
          </w:p>
        </w:tc>
        <w:tc>
          <w:tcPr>
            <w:tcW w:w="1736" w:type="dxa"/>
            <w:noWrap/>
            <w:vAlign w:val="bottom"/>
          </w:tcPr>
          <w:p w14:paraId="78D60B35" w14:textId="5F67F41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4678ED76" w14:textId="320BA8B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E63E0" w:rsidRPr="00C94C6D" w14:paraId="2C31BD3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9D0DFB" w14:textId="04543B37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492E37AA" w14:textId="2E70727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4,09%</w:t>
            </w:r>
          </w:p>
        </w:tc>
        <w:tc>
          <w:tcPr>
            <w:tcW w:w="1737" w:type="dxa"/>
            <w:noWrap/>
            <w:vAlign w:val="bottom"/>
          </w:tcPr>
          <w:p w14:paraId="0D1A5AAA" w14:textId="2AE31B24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2,26%</w:t>
            </w:r>
          </w:p>
        </w:tc>
        <w:tc>
          <w:tcPr>
            <w:tcW w:w="1736" w:type="dxa"/>
            <w:noWrap/>
            <w:vAlign w:val="bottom"/>
          </w:tcPr>
          <w:p w14:paraId="4714E06F" w14:textId="6594EF7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1,83%</w:t>
            </w:r>
          </w:p>
        </w:tc>
        <w:tc>
          <w:tcPr>
            <w:tcW w:w="1737" w:type="dxa"/>
            <w:noWrap/>
            <w:vAlign w:val="bottom"/>
          </w:tcPr>
          <w:p w14:paraId="06F2D067" w14:textId="1DB4B68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63E0" w:rsidRPr="00C94C6D" w14:paraId="243305C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357B05" w14:textId="38CC09C7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1DBD2897" w14:textId="069FE6DF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2,56%</w:t>
            </w:r>
          </w:p>
        </w:tc>
        <w:tc>
          <w:tcPr>
            <w:tcW w:w="1737" w:type="dxa"/>
            <w:noWrap/>
            <w:vAlign w:val="bottom"/>
          </w:tcPr>
          <w:p w14:paraId="7CCADE0D" w14:textId="3F68A8B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0DB59794" w14:textId="2D1E4F8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2,45%</w:t>
            </w:r>
          </w:p>
        </w:tc>
        <w:tc>
          <w:tcPr>
            <w:tcW w:w="1737" w:type="dxa"/>
            <w:noWrap/>
            <w:vAlign w:val="bottom"/>
          </w:tcPr>
          <w:p w14:paraId="0A84D02D" w14:textId="7EDE957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E63E0" w:rsidRPr="00C94C6D" w14:paraId="38346E1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722678" w14:textId="3C1997E7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3A3AAEBF" w14:textId="3CE55B73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7" w:type="dxa"/>
            <w:noWrap/>
            <w:vAlign w:val="bottom"/>
          </w:tcPr>
          <w:p w14:paraId="784EB777" w14:textId="45F21F2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0,87%</w:t>
            </w:r>
          </w:p>
        </w:tc>
        <w:tc>
          <w:tcPr>
            <w:tcW w:w="1736" w:type="dxa"/>
            <w:noWrap/>
            <w:vAlign w:val="bottom"/>
          </w:tcPr>
          <w:p w14:paraId="7EE14783" w14:textId="74A1BC8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7" w:type="dxa"/>
            <w:noWrap/>
            <w:vAlign w:val="bottom"/>
          </w:tcPr>
          <w:p w14:paraId="23817363" w14:textId="7BC9C0E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E63E0" w:rsidRPr="00C94C6D" w14:paraId="6518FBF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711D82" w14:textId="05FA83E3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6485EF4C" w14:textId="76A25BD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1,49%</w:t>
            </w:r>
          </w:p>
        </w:tc>
        <w:tc>
          <w:tcPr>
            <w:tcW w:w="1737" w:type="dxa"/>
            <w:noWrap/>
            <w:vAlign w:val="bottom"/>
          </w:tcPr>
          <w:p w14:paraId="013A261B" w14:textId="4DA9AEF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6" w:type="dxa"/>
            <w:noWrap/>
            <w:vAlign w:val="bottom"/>
          </w:tcPr>
          <w:p w14:paraId="2ED49813" w14:textId="01AA9A7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-0,59%</w:t>
            </w:r>
          </w:p>
        </w:tc>
        <w:tc>
          <w:tcPr>
            <w:tcW w:w="1737" w:type="dxa"/>
            <w:noWrap/>
            <w:vAlign w:val="bottom"/>
          </w:tcPr>
          <w:p w14:paraId="2CDAE892" w14:textId="08F3B0E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E63E0" w:rsidRPr="00C94C6D" w14:paraId="2C30464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865F60" w14:textId="07D73FB5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6005A99C" w14:textId="67B3B16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1,07%</w:t>
            </w:r>
          </w:p>
        </w:tc>
        <w:tc>
          <w:tcPr>
            <w:tcW w:w="1737" w:type="dxa"/>
            <w:noWrap/>
            <w:vAlign w:val="bottom"/>
          </w:tcPr>
          <w:p w14:paraId="5448A74D" w14:textId="73AA736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6" w:type="dxa"/>
            <w:noWrap/>
            <w:vAlign w:val="bottom"/>
          </w:tcPr>
          <w:p w14:paraId="024728D1" w14:textId="6D19E9F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-0,41%</w:t>
            </w:r>
          </w:p>
        </w:tc>
        <w:tc>
          <w:tcPr>
            <w:tcW w:w="1737" w:type="dxa"/>
            <w:noWrap/>
            <w:vAlign w:val="bottom"/>
          </w:tcPr>
          <w:p w14:paraId="7EF5865B" w14:textId="1631A7B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E63E0" w:rsidRPr="00C94C6D" w14:paraId="487E904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03D31A" w14:textId="09FCACA5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54C65BB8" w14:textId="3D77E52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0,65%</w:t>
            </w:r>
          </w:p>
        </w:tc>
        <w:tc>
          <w:tcPr>
            <w:tcW w:w="1737" w:type="dxa"/>
            <w:noWrap/>
            <w:vAlign w:val="bottom"/>
          </w:tcPr>
          <w:p w14:paraId="58B9826D" w14:textId="3B9EA6E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6" w:type="dxa"/>
            <w:noWrap/>
            <w:vAlign w:val="bottom"/>
          </w:tcPr>
          <w:p w14:paraId="5FCD6E9B" w14:textId="50763D1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6719166F" w14:textId="6313872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E63E0" w:rsidRPr="00C94C6D" w14:paraId="482A83E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7168C7" w14:textId="7F33F80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2BCD7F99" w14:textId="07BEBB6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7" w:type="dxa"/>
            <w:noWrap/>
            <w:vAlign w:val="bottom"/>
          </w:tcPr>
          <w:p w14:paraId="05A4DA3E" w14:textId="3B27FAF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1,27%</w:t>
            </w:r>
          </w:p>
        </w:tc>
        <w:tc>
          <w:tcPr>
            <w:tcW w:w="1736" w:type="dxa"/>
            <w:noWrap/>
            <w:vAlign w:val="bottom"/>
          </w:tcPr>
          <w:p w14:paraId="20551ED8" w14:textId="07D3B77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-0,81%</w:t>
            </w:r>
          </w:p>
        </w:tc>
        <w:tc>
          <w:tcPr>
            <w:tcW w:w="1737" w:type="dxa"/>
            <w:noWrap/>
            <w:vAlign w:val="bottom"/>
          </w:tcPr>
          <w:p w14:paraId="7C8CFF49" w14:textId="6031182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E63E0" w:rsidRPr="00C94C6D" w14:paraId="090464B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136D2B" w14:textId="56779F06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5E4FD732" w14:textId="461C9EBE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37FF8B6E" w14:textId="5302B8A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3,24%</w:t>
            </w:r>
          </w:p>
        </w:tc>
        <w:tc>
          <w:tcPr>
            <w:tcW w:w="1736" w:type="dxa"/>
            <w:noWrap/>
            <w:vAlign w:val="bottom"/>
          </w:tcPr>
          <w:p w14:paraId="6194D4E0" w14:textId="2A72285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-2,83%</w:t>
            </w:r>
          </w:p>
        </w:tc>
        <w:tc>
          <w:tcPr>
            <w:tcW w:w="1737" w:type="dxa"/>
            <w:noWrap/>
            <w:vAlign w:val="bottom"/>
          </w:tcPr>
          <w:p w14:paraId="25B76E04" w14:textId="78829DB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E63E0" w:rsidRPr="00C94C6D" w14:paraId="351CC0E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98DBCF" w14:textId="45E98F4F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6B355C6E" w14:textId="2C2BA01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7" w:type="dxa"/>
            <w:noWrap/>
            <w:vAlign w:val="bottom"/>
          </w:tcPr>
          <w:p w14:paraId="7927C5B1" w14:textId="20A97CC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5D82080" w14:textId="2123CF4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7" w:type="dxa"/>
            <w:noWrap/>
            <w:vAlign w:val="bottom"/>
          </w:tcPr>
          <w:p w14:paraId="4F637217" w14:textId="75D2D3F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E63E0" w:rsidRPr="00C94C6D" w14:paraId="703AC93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217B58" w14:textId="341AA564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E85AA7F" w14:textId="7D47AE2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28EAA793" w14:textId="41F0797D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4D2B7949" w14:textId="4171852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-0,06%</w:t>
            </w:r>
          </w:p>
        </w:tc>
        <w:tc>
          <w:tcPr>
            <w:tcW w:w="1737" w:type="dxa"/>
            <w:noWrap/>
            <w:vAlign w:val="bottom"/>
          </w:tcPr>
          <w:p w14:paraId="17D8B8EB" w14:textId="3B0E13B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E63E0" w:rsidRPr="00C94C6D" w14:paraId="6B2203E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462584" w14:textId="2617389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1019E70A" w14:textId="63E1A10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4CC112F2" w14:textId="61ECB7D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6" w:type="dxa"/>
            <w:noWrap/>
            <w:vAlign w:val="bottom"/>
          </w:tcPr>
          <w:p w14:paraId="26009D1D" w14:textId="51562C9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-0,13%</w:t>
            </w:r>
          </w:p>
        </w:tc>
        <w:tc>
          <w:tcPr>
            <w:tcW w:w="1737" w:type="dxa"/>
            <w:noWrap/>
            <w:vAlign w:val="bottom"/>
          </w:tcPr>
          <w:p w14:paraId="00983B27" w14:textId="71FA7DF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E63E0" w:rsidRPr="00C94C6D" w14:paraId="0C52345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FDCD95" w14:textId="31C055E3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DC47F68" w14:textId="3AABAC6C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588E0C" w14:textId="6702859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E4E5752" w14:textId="66CC1AA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E78D362" w14:textId="3F27F50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E63E0" w:rsidRPr="00C94C6D" w14:paraId="5E219B7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AEA9FF" w14:textId="7AEFDE63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FBC84E9" w14:textId="5F337BC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E43C05A" w14:textId="5520F01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8371123" w14:textId="6BA777E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39960C0" w14:textId="12B08336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E63E0" w:rsidRPr="00C94C6D" w14:paraId="54C3AA6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55E57E" w14:textId="18A6667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C51F4A1" w14:textId="42B4BCE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F22A6DE" w14:textId="2ABF4761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F687F71" w14:textId="072211D5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EE085C" w14:textId="4112D7B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E63E0" w:rsidRPr="00C94C6D" w14:paraId="16E5A24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6E2536" w14:textId="0AE98DCD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29966DFF" w14:textId="3CF1A58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B06A057" w14:textId="1D68CEE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841CEC6" w14:textId="58D6C5C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A63901" w14:textId="426ECDF8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E63E0" w:rsidRPr="00C94C6D" w14:paraId="3A6F0FA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8E1E49" w14:textId="2FE0790A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12C905E" w14:textId="51903538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5AB2251" w14:textId="2456953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15068CC" w14:textId="28A719BA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4D13F1E" w14:textId="2D92B7A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E63E0" w:rsidRPr="00C94C6D" w14:paraId="32C1130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B95F60" w14:textId="709B8B21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4F8CC58F" w14:textId="1A35638E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83D710" w14:textId="0D390E1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ADE7207" w14:textId="60DE311D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2C961FD" w14:textId="470F1E8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E63E0" w:rsidRPr="00C94C6D" w14:paraId="6D35839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03F7F1" w14:textId="2A13A1C0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174BB0D2" w14:textId="4E3101C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DCB1AB7" w14:textId="491D8CD3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3CCC1B1" w14:textId="0DB06594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12F434B" w14:textId="433599F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E63E0" w:rsidRPr="00C94C6D" w14:paraId="7BCEEC1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060E8C" w14:textId="7A6038DF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3868F0D8" w14:textId="5872C04A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CEC5C19" w14:textId="4547CBB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295E575" w14:textId="6E5E4C5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B9059B9" w14:textId="32A2CBC5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E63E0" w:rsidRPr="00C94C6D" w14:paraId="29FDE13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44360D" w14:textId="2A700049" w:rsidR="004E63E0" w:rsidRPr="00AD72A8" w:rsidRDefault="004E63E0" w:rsidP="004E63E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FDA68C3" w14:textId="25C7C172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8F1EB17" w14:textId="7B54EC7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3D49AB5" w14:textId="04012220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400B49" w14:textId="3A86C76B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E63E0" w:rsidRPr="00C94C6D" w14:paraId="122F664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B4B70C" w14:textId="16011F4C" w:rsidR="004E63E0" w:rsidRPr="00AD72A8" w:rsidRDefault="004E63E0" w:rsidP="004E63E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EDEFB36" w14:textId="416F7171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B5814C5" w14:textId="3C8B274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D218E5A" w14:textId="3F3BCBC7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B5EE2CB" w14:textId="487803EF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6B420BA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72A3A8" w14:textId="77777777" w:rsidR="007154AA" w:rsidRPr="00C94C6D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BFD27EB" w14:textId="4A671137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9F12B94" w14:textId="71DD1B23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4219200" w14:textId="77777777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6EADD8C" w14:textId="77777777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2A8" w:rsidRPr="00C94C6D" w14:paraId="178050E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FC56CDD" w14:textId="77777777" w:rsidR="00AD72A8" w:rsidRPr="00C94C6D" w:rsidRDefault="00AD72A8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3EE55D8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600719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3FD3CCC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5123B79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2A8" w:rsidRPr="00C94C6D" w14:paraId="001380BB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0AB5287" w14:textId="77777777" w:rsidR="00AD72A8" w:rsidRPr="00C94C6D" w:rsidRDefault="00AD72A8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789E4E1" w14:textId="378FE216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1E4B6D" w14:textId="1F486679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5407D92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61E363C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29748111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73E2CD3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74A588B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A33B556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CC0A126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4F300D9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4D870C66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58822F1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2B1797B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8E15F5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ED53A2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1AE79E4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5D5D437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0F38689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7D1BA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9B7086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93892C1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A62DA4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06AABFD0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DF20C5D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D12759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7DF59D2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E85BAF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B632C63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46BFA411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F8D4CFA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CEF86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11D2CC4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4B1366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63412B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3E0" w:rsidRPr="00C94C6D" w14:paraId="2BC977A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105FE10" w14:textId="77777777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DF07625" w14:textId="5193E222" w:rsidR="004E63E0" w:rsidRPr="00C94C6D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25,33%</w:t>
            </w:r>
          </w:p>
        </w:tc>
        <w:tc>
          <w:tcPr>
            <w:tcW w:w="1737" w:type="dxa"/>
            <w:noWrap/>
            <w:vAlign w:val="bottom"/>
          </w:tcPr>
          <w:p w14:paraId="2CF1241D" w14:textId="31570E37" w:rsidR="004E63E0" w:rsidRPr="00C94C6D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25,30%</w:t>
            </w:r>
          </w:p>
        </w:tc>
        <w:tc>
          <w:tcPr>
            <w:tcW w:w="1736" w:type="dxa"/>
            <w:noWrap/>
            <w:vAlign w:val="center"/>
          </w:tcPr>
          <w:p w14:paraId="3A0328A1" w14:textId="77777777" w:rsidR="004E63E0" w:rsidRPr="00C94C6D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3A75E4" w14:textId="77777777" w:rsidR="004E63E0" w:rsidRPr="00C94C6D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6B003AF9" w14:textId="77777777" w:rsidR="00CC100E" w:rsidRPr="00C94C6D" w:rsidRDefault="00CC100E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A635A4" w:rsidRPr="00C94C6D" w14:paraId="242A5398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02E36596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68BCDA2C" w14:textId="06F103DE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300AAA0C" w14:textId="6B12E6C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E63E0" w:rsidRPr="00C94C6D" w14:paraId="7FF88AD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6D5C1C5" w14:textId="572CD999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517743FC" w14:textId="572DB92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20,56%</w:t>
            </w:r>
          </w:p>
        </w:tc>
        <w:tc>
          <w:tcPr>
            <w:tcW w:w="2977" w:type="dxa"/>
            <w:vAlign w:val="bottom"/>
          </w:tcPr>
          <w:p w14:paraId="6777F4D5" w14:textId="10253439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20,21%</w:t>
            </w:r>
          </w:p>
        </w:tc>
      </w:tr>
      <w:tr w:rsidR="004E63E0" w:rsidRPr="00C94C6D" w14:paraId="1DDAC3DC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CF400F2" w14:textId="0C077CE0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37D53AD3" w14:textId="7E513416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24,65%</w:t>
            </w:r>
          </w:p>
        </w:tc>
        <w:tc>
          <w:tcPr>
            <w:tcW w:w="2977" w:type="dxa"/>
            <w:vAlign w:val="bottom"/>
          </w:tcPr>
          <w:p w14:paraId="0A3E94AF" w14:textId="0C4837D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24,92%</w:t>
            </w:r>
          </w:p>
        </w:tc>
      </w:tr>
    </w:tbl>
    <w:p w14:paraId="6C9890EE" w14:textId="77777777" w:rsidR="00687BBD" w:rsidRPr="00C94C6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A635A4" w:rsidRPr="00C94C6D" w14:paraId="4B224949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3FCFBA3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0B4E7BC1" w14:textId="395B99C8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5CEE3EED" w14:textId="22A67CBC" w:rsidR="00A635A4" w:rsidRPr="00CE1888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3AF1038F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Variazione</w:t>
            </w:r>
          </w:p>
        </w:tc>
      </w:tr>
      <w:tr w:rsidR="004E63E0" w:rsidRPr="00C94C6D" w14:paraId="12FDDFA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D62422B" w14:textId="77777777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Contratti c/proprio</w:t>
            </w:r>
          </w:p>
        </w:tc>
        <w:tc>
          <w:tcPr>
            <w:tcW w:w="2192" w:type="dxa"/>
            <w:vAlign w:val="bottom"/>
          </w:tcPr>
          <w:p w14:paraId="3D9164DB" w14:textId="7CAEA43B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2.207.378</w:t>
            </w:r>
          </w:p>
        </w:tc>
        <w:tc>
          <w:tcPr>
            <w:tcW w:w="2460" w:type="dxa"/>
            <w:vAlign w:val="bottom"/>
          </w:tcPr>
          <w:p w14:paraId="0DD6FB81" w14:textId="52DF64BE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1.789.742</w:t>
            </w:r>
          </w:p>
        </w:tc>
        <w:tc>
          <w:tcPr>
            <w:tcW w:w="2259" w:type="dxa"/>
            <w:vAlign w:val="bottom"/>
          </w:tcPr>
          <w:p w14:paraId="0B7B4474" w14:textId="5F28A9DC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23,33%</w:t>
            </w:r>
          </w:p>
        </w:tc>
      </w:tr>
      <w:tr w:rsidR="004E63E0" w:rsidRPr="00C94C6D" w14:paraId="1F347AC6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0799E0D" w14:textId="23288770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44B11BC9" w14:textId="360938C9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334.737</w:t>
            </w:r>
          </w:p>
        </w:tc>
        <w:tc>
          <w:tcPr>
            <w:tcW w:w="2460" w:type="dxa"/>
            <w:vAlign w:val="bottom"/>
          </w:tcPr>
          <w:p w14:paraId="5983B74C" w14:textId="1AD44506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247.561</w:t>
            </w:r>
          </w:p>
        </w:tc>
        <w:tc>
          <w:tcPr>
            <w:tcW w:w="2259" w:type="dxa"/>
            <w:vAlign w:val="bottom"/>
          </w:tcPr>
          <w:p w14:paraId="2D1BD12D" w14:textId="5C68AE07" w:rsidR="004E63E0" w:rsidRPr="00AD72A8" w:rsidRDefault="004E63E0" w:rsidP="004E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35,21%</w:t>
            </w:r>
          </w:p>
        </w:tc>
      </w:tr>
      <w:tr w:rsidR="004E63E0" w:rsidRPr="00C94C6D" w14:paraId="39E42E7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B56C616" w14:textId="77777777" w:rsidR="004E63E0" w:rsidRPr="00C94C6D" w:rsidRDefault="004E63E0" w:rsidP="004E63E0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0AFA10C3" w14:textId="36E91AE2" w:rsidR="004E63E0" w:rsidRPr="00AD72A8" w:rsidRDefault="004E63E0" w:rsidP="004E6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6,59</w:t>
            </w:r>
          </w:p>
        </w:tc>
        <w:tc>
          <w:tcPr>
            <w:tcW w:w="2460" w:type="dxa"/>
            <w:vAlign w:val="bottom"/>
          </w:tcPr>
          <w:p w14:paraId="3661C95B" w14:textId="27B92FDD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7,23</w:t>
            </w:r>
          </w:p>
        </w:tc>
        <w:tc>
          <w:tcPr>
            <w:tcW w:w="2259" w:type="dxa"/>
            <w:vAlign w:val="bottom"/>
          </w:tcPr>
          <w:p w14:paraId="60766A98" w14:textId="77777777" w:rsidR="004E63E0" w:rsidRPr="00AD72A8" w:rsidRDefault="004E63E0" w:rsidP="004E63E0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1D6B478" w14:textId="77777777" w:rsidR="00687BBD" w:rsidRDefault="00687BBD" w:rsidP="00687BBD">
      <w:pPr>
        <w:numPr>
          <w:ilvl w:val="0"/>
          <w:numId w:val="3"/>
        </w:numPr>
        <w:tabs>
          <w:tab w:val="left" w:pos="2340"/>
        </w:tabs>
        <w:contextualSpacing/>
        <w:jc w:val="both"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OPZIONI SU AZIONI</w:t>
      </w:r>
      <w:r w:rsidR="00BB40C2">
        <w:rPr>
          <w:color w:val="4F81BD" w:themeColor="accent1"/>
        </w:rPr>
        <w:t xml:space="preserve"> - </w:t>
      </w:r>
      <w:r w:rsidR="0029301D">
        <w:rPr>
          <w:color w:val="4F81BD" w:themeColor="accent1"/>
        </w:rPr>
        <w:t>CONTRATTI</w:t>
      </w:r>
      <w:r w:rsidR="0029301D" w:rsidRPr="004251B7">
        <w:rPr>
          <w:color w:val="4F81BD" w:themeColor="accent1"/>
        </w:rPr>
        <w:t xml:space="preserve">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PROPRIO</w:t>
      </w:r>
    </w:p>
    <w:p w14:paraId="24D60609" w14:textId="77777777" w:rsidR="00687BBD" w:rsidRDefault="00687BBD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C94C6D" w14:paraId="2BA94FD2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1B241B7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E8FEE08" w14:textId="6F515AC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22AB9FF8" w14:textId="09C012B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D24B8B3" w14:textId="554DD5E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463FCC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DA19A4D" w14:textId="5AE53AC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C94C6D" w14:paraId="63AC3D25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67E895" w14:textId="09579E6D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25265EF" w14:textId="016580C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7,86%</w:t>
            </w:r>
          </w:p>
        </w:tc>
        <w:tc>
          <w:tcPr>
            <w:tcW w:w="1737" w:type="dxa"/>
            <w:noWrap/>
            <w:vAlign w:val="bottom"/>
          </w:tcPr>
          <w:p w14:paraId="6E1D5870" w14:textId="2E095F0E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6,53%</w:t>
            </w:r>
          </w:p>
        </w:tc>
        <w:tc>
          <w:tcPr>
            <w:tcW w:w="1736" w:type="dxa"/>
            <w:noWrap/>
            <w:vAlign w:val="bottom"/>
          </w:tcPr>
          <w:p w14:paraId="76D6BFFD" w14:textId="389067FE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1,33%</w:t>
            </w:r>
          </w:p>
        </w:tc>
        <w:tc>
          <w:tcPr>
            <w:tcW w:w="1737" w:type="dxa"/>
            <w:noWrap/>
            <w:vAlign w:val="bottom"/>
          </w:tcPr>
          <w:p w14:paraId="27903E21" w14:textId="16F23A54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C94C6D" w14:paraId="2AE81B5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B2A761" w14:textId="65B46967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DCC2682" w14:textId="553C79CC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6,03%</w:t>
            </w:r>
          </w:p>
        </w:tc>
        <w:tc>
          <w:tcPr>
            <w:tcW w:w="1737" w:type="dxa"/>
            <w:noWrap/>
            <w:vAlign w:val="bottom"/>
          </w:tcPr>
          <w:p w14:paraId="3BEDFCC7" w14:textId="0C1957BC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7,77%</w:t>
            </w:r>
          </w:p>
        </w:tc>
        <w:tc>
          <w:tcPr>
            <w:tcW w:w="1736" w:type="dxa"/>
            <w:noWrap/>
            <w:vAlign w:val="bottom"/>
          </w:tcPr>
          <w:p w14:paraId="340736EF" w14:textId="43478BDB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-1,74%</w:t>
            </w:r>
          </w:p>
        </w:tc>
        <w:tc>
          <w:tcPr>
            <w:tcW w:w="1737" w:type="dxa"/>
            <w:noWrap/>
            <w:vAlign w:val="bottom"/>
          </w:tcPr>
          <w:p w14:paraId="13D34418" w14:textId="2ACD321E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C94C6D" w14:paraId="59F5650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56CE106" w14:textId="1D086F69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D015A8D" w14:textId="67A6BFB2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4,81%</w:t>
            </w:r>
          </w:p>
        </w:tc>
        <w:tc>
          <w:tcPr>
            <w:tcW w:w="1737" w:type="dxa"/>
            <w:noWrap/>
            <w:vAlign w:val="bottom"/>
          </w:tcPr>
          <w:p w14:paraId="17FBB5FB" w14:textId="0315047B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5,41%</w:t>
            </w:r>
          </w:p>
        </w:tc>
        <w:tc>
          <w:tcPr>
            <w:tcW w:w="1736" w:type="dxa"/>
            <w:noWrap/>
            <w:vAlign w:val="bottom"/>
          </w:tcPr>
          <w:p w14:paraId="2E812119" w14:textId="58599CFA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-0,60%</w:t>
            </w:r>
          </w:p>
        </w:tc>
        <w:tc>
          <w:tcPr>
            <w:tcW w:w="1737" w:type="dxa"/>
            <w:noWrap/>
            <w:vAlign w:val="bottom"/>
          </w:tcPr>
          <w:p w14:paraId="2ADF776D" w14:textId="00E808CE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C94C6D" w14:paraId="499F623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3225AC" w14:textId="60A6731E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3CDC06AF" w14:textId="6C9B2D26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4,47%</w:t>
            </w:r>
          </w:p>
        </w:tc>
        <w:tc>
          <w:tcPr>
            <w:tcW w:w="1737" w:type="dxa"/>
            <w:noWrap/>
            <w:vAlign w:val="bottom"/>
          </w:tcPr>
          <w:p w14:paraId="5FF94130" w14:textId="181FFBA6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3,07%</w:t>
            </w:r>
          </w:p>
        </w:tc>
        <w:tc>
          <w:tcPr>
            <w:tcW w:w="1736" w:type="dxa"/>
            <w:noWrap/>
            <w:vAlign w:val="bottom"/>
          </w:tcPr>
          <w:p w14:paraId="7846B191" w14:textId="1E05D810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1,40%</w:t>
            </w:r>
          </w:p>
        </w:tc>
        <w:tc>
          <w:tcPr>
            <w:tcW w:w="1737" w:type="dxa"/>
            <w:noWrap/>
            <w:vAlign w:val="bottom"/>
          </w:tcPr>
          <w:p w14:paraId="4B16ED6E" w14:textId="613E9F9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557E3" w:rsidRPr="00C94C6D" w14:paraId="4BBF4CD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8795E0" w14:textId="3A7D9CDB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68D6734" w14:textId="7FF74317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3,71%</w:t>
            </w:r>
          </w:p>
        </w:tc>
        <w:tc>
          <w:tcPr>
            <w:tcW w:w="1737" w:type="dxa"/>
            <w:noWrap/>
            <w:vAlign w:val="bottom"/>
          </w:tcPr>
          <w:p w14:paraId="19BCEB8B" w14:textId="4BD5B8C6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4,65%</w:t>
            </w:r>
          </w:p>
        </w:tc>
        <w:tc>
          <w:tcPr>
            <w:tcW w:w="1736" w:type="dxa"/>
            <w:noWrap/>
            <w:vAlign w:val="bottom"/>
          </w:tcPr>
          <w:p w14:paraId="7FA50012" w14:textId="611E61AA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-0,94%</w:t>
            </w:r>
          </w:p>
        </w:tc>
        <w:tc>
          <w:tcPr>
            <w:tcW w:w="1737" w:type="dxa"/>
            <w:noWrap/>
            <w:vAlign w:val="bottom"/>
          </w:tcPr>
          <w:p w14:paraId="7800A4CD" w14:textId="6595998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C94C6D" w14:paraId="5E85423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F31A57" w14:textId="372F1FDD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7D462D5B" w14:textId="25E642FE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3,22%</w:t>
            </w:r>
          </w:p>
        </w:tc>
        <w:tc>
          <w:tcPr>
            <w:tcW w:w="1737" w:type="dxa"/>
            <w:noWrap/>
            <w:vAlign w:val="bottom"/>
          </w:tcPr>
          <w:p w14:paraId="0846ED47" w14:textId="0DA4DEB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3,69%</w:t>
            </w:r>
          </w:p>
        </w:tc>
        <w:tc>
          <w:tcPr>
            <w:tcW w:w="1736" w:type="dxa"/>
            <w:noWrap/>
            <w:vAlign w:val="bottom"/>
          </w:tcPr>
          <w:p w14:paraId="240981F4" w14:textId="09010786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-0,47%</w:t>
            </w:r>
          </w:p>
        </w:tc>
        <w:tc>
          <w:tcPr>
            <w:tcW w:w="1737" w:type="dxa"/>
            <w:noWrap/>
            <w:vAlign w:val="bottom"/>
          </w:tcPr>
          <w:p w14:paraId="1BCB3A38" w14:textId="078A488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C94C6D" w14:paraId="6755701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4B44CD" w14:textId="5F0CC991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179B451E" w14:textId="089DA2CF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3,07%</w:t>
            </w:r>
          </w:p>
        </w:tc>
        <w:tc>
          <w:tcPr>
            <w:tcW w:w="1737" w:type="dxa"/>
            <w:noWrap/>
            <w:vAlign w:val="bottom"/>
          </w:tcPr>
          <w:p w14:paraId="3AB73ECE" w14:textId="227B9E97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2,97%</w:t>
            </w:r>
          </w:p>
        </w:tc>
        <w:tc>
          <w:tcPr>
            <w:tcW w:w="1736" w:type="dxa"/>
            <w:noWrap/>
            <w:vAlign w:val="bottom"/>
          </w:tcPr>
          <w:p w14:paraId="22F13370" w14:textId="7B7FD3F4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1A4F17EC" w14:textId="71F33452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C94C6D" w14:paraId="6B5E616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BA9E90" w14:textId="1A2B1139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3961E396" w14:textId="01406CAF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1,98%</w:t>
            </w:r>
          </w:p>
        </w:tc>
        <w:tc>
          <w:tcPr>
            <w:tcW w:w="1737" w:type="dxa"/>
            <w:noWrap/>
            <w:vAlign w:val="bottom"/>
          </w:tcPr>
          <w:p w14:paraId="7B64D332" w14:textId="1F96392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4,69%</w:t>
            </w:r>
          </w:p>
        </w:tc>
        <w:tc>
          <w:tcPr>
            <w:tcW w:w="1736" w:type="dxa"/>
            <w:noWrap/>
            <w:vAlign w:val="bottom"/>
          </w:tcPr>
          <w:p w14:paraId="66071FF8" w14:textId="611BAD97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-2,71%</w:t>
            </w:r>
          </w:p>
        </w:tc>
        <w:tc>
          <w:tcPr>
            <w:tcW w:w="1737" w:type="dxa"/>
            <w:noWrap/>
            <w:vAlign w:val="bottom"/>
          </w:tcPr>
          <w:p w14:paraId="3A626235" w14:textId="7DDF5B12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C94C6D" w14:paraId="7751574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ECC41BB" w14:textId="7CB5C88E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1D026027" w14:textId="64DBFC1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1,70%</w:t>
            </w:r>
          </w:p>
        </w:tc>
        <w:tc>
          <w:tcPr>
            <w:tcW w:w="1737" w:type="dxa"/>
            <w:noWrap/>
            <w:vAlign w:val="bottom"/>
          </w:tcPr>
          <w:p w14:paraId="7F2F7B00" w14:textId="666254EB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1,25%</w:t>
            </w:r>
          </w:p>
        </w:tc>
        <w:tc>
          <w:tcPr>
            <w:tcW w:w="1736" w:type="dxa"/>
            <w:noWrap/>
            <w:vAlign w:val="bottom"/>
          </w:tcPr>
          <w:p w14:paraId="5B8EB01A" w14:textId="6560AA6A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0C06AE17" w14:textId="487685B1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C94C6D" w14:paraId="11BA1E2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8D73F2" w14:textId="05F3A155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BA5ACDA" w14:textId="6E80FF0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0,89%</w:t>
            </w:r>
          </w:p>
        </w:tc>
        <w:tc>
          <w:tcPr>
            <w:tcW w:w="1737" w:type="dxa"/>
            <w:noWrap/>
            <w:vAlign w:val="bottom"/>
          </w:tcPr>
          <w:p w14:paraId="1DE53244" w14:textId="65C4EF3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1,96%</w:t>
            </w:r>
          </w:p>
        </w:tc>
        <w:tc>
          <w:tcPr>
            <w:tcW w:w="1736" w:type="dxa"/>
            <w:noWrap/>
            <w:vAlign w:val="bottom"/>
          </w:tcPr>
          <w:p w14:paraId="7CC612F9" w14:textId="4F19B6AB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-1,06%</w:t>
            </w:r>
          </w:p>
        </w:tc>
        <w:tc>
          <w:tcPr>
            <w:tcW w:w="1737" w:type="dxa"/>
            <w:noWrap/>
            <w:vAlign w:val="bottom"/>
          </w:tcPr>
          <w:p w14:paraId="55D2C41B" w14:textId="2881A5F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C94C6D" w14:paraId="0FF172B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233F38" w14:textId="10C911DC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5F3D0FA6" w14:textId="0CBED494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448E3802" w14:textId="0FEDF95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2,16%</w:t>
            </w:r>
          </w:p>
        </w:tc>
        <w:tc>
          <w:tcPr>
            <w:tcW w:w="1736" w:type="dxa"/>
            <w:noWrap/>
            <w:vAlign w:val="bottom"/>
          </w:tcPr>
          <w:p w14:paraId="1F07835D" w14:textId="3782AA89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-1,82%</w:t>
            </w:r>
          </w:p>
        </w:tc>
        <w:tc>
          <w:tcPr>
            <w:tcW w:w="1737" w:type="dxa"/>
            <w:noWrap/>
            <w:vAlign w:val="bottom"/>
          </w:tcPr>
          <w:p w14:paraId="7E474A11" w14:textId="2AD52B41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C94C6D" w14:paraId="339A2B5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CB097C" w14:textId="4EE91C27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5437B190" w14:textId="5FE9DF34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77A3C125" w14:textId="2A24C25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6" w:type="dxa"/>
            <w:noWrap/>
            <w:vAlign w:val="bottom"/>
          </w:tcPr>
          <w:p w14:paraId="60358E7E" w14:textId="5F3FF4B1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-0,61%</w:t>
            </w:r>
          </w:p>
        </w:tc>
        <w:tc>
          <w:tcPr>
            <w:tcW w:w="1737" w:type="dxa"/>
            <w:noWrap/>
            <w:vAlign w:val="bottom"/>
          </w:tcPr>
          <w:p w14:paraId="01A860E7" w14:textId="339B24E2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C94C6D" w14:paraId="69B719A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7CEBD7" w14:textId="61E2D23C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1F707089" w14:textId="55A8235C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3799F643" w14:textId="2E6158EA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8892E8D" w14:textId="679CD056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31CB9244" w14:textId="05F17074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557E3" w:rsidRPr="00C94C6D" w14:paraId="611F045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5F6160" w14:textId="1A73B343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6276D93" w14:textId="63B0CFC1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1A3881A" w14:textId="111F04B8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9A93645" w14:textId="6E04C601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93D354" w14:textId="482D194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557E3" w:rsidRPr="00C94C6D" w14:paraId="75D2E92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F5B093" w14:textId="052FE85B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5840218" w14:textId="19F18E94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45134F3" w14:textId="62F77AFC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A692D22" w14:textId="4B3610BB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FF56FE8" w14:textId="742CA115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557E3" w:rsidRPr="00C94C6D" w14:paraId="706607A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4851A5" w14:textId="6F2CA9F2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6C70E8CD" w14:textId="1F80AAEB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29FF3B6" w14:textId="2629B28B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D55750C" w14:textId="28B348AD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277FE5D" w14:textId="00F7E7F3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557E3" w:rsidRPr="00C94C6D" w14:paraId="3A04FE8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5418C82" w14:textId="4189F340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0EB81918" w14:textId="6445AAE7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7A7543B" w14:textId="5FBA3E40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9574335" w14:textId="06F31165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3BA380D" w14:textId="35EEF1A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557E3" w:rsidRPr="00C94C6D" w14:paraId="773E05E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A43BAE" w14:textId="2AB8B88F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392717A" w14:textId="0B8CFE39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4184B7B" w14:textId="3B0193FE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31498C2" w14:textId="4697557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835139C" w14:textId="36B64FB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557E3" w:rsidRPr="00C94C6D" w14:paraId="389B33F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769FDB" w14:textId="0B1CA34E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EDF5C1D" w14:textId="64B1A4ED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9DDB048" w14:textId="0E10FDC7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8C09BA4" w14:textId="3CE4816D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601FA21E" w14:textId="25460D0A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C94C6D" w14:paraId="75B18F2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244C44" w14:textId="0B6EF554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4C8E8A85" w14:textId="3AC64FF0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364E48A" w14:textId="64F57B68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0A03BE8" w14:textId="388C4117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E26E87B" w14:textId="77A9CFF1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557E3" w:rsidRPr="00C94C6D" w14:paraId="25BF828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CE78AE" w14:textId="489B406B" w:rsidR="00D557E3" w:rsidRPr="00AD72A8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06F8820E" w14:textId="07032A0F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6A21A92" w14:textId="1F71251E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3E21175" w14:textId="52A9B50E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2C474BE" w14:textId="5393CD06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C94C6D" w14:paraId="49922BC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0039C8" w14:textId="118EB5FA" w:rsidR="00D557E3" w:rsidRPr="00AD72A8" w:rsidRDefault="00D557E3" w:rsidP="00D557E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6B59057" w14:textId="720D4F00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E6F158B" w14:textId="02AAEB30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69A81B1" w14:textId="672E56B3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06E1114" w14:textId="570147DA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16A4A46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A6EA95" w14:textId="39AEED01" w:rsidR="007154AA" w:rsidRPr="00AD72A8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98215D2" w14:textId="331B4EE8" w:rsidR="007154AA" w:rsidRPr="00AD72A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E8BDBE6" w14:textId="428CEADF" w:rsidR="007154AA" w:rsidRPr="00AD72A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67FF2C0" w14:textId="139E7F78" w:rsidR="007154AA" w:rsidRPr="00AD72A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59094AF" w14:textId="0114BCE0" w:rsidR="007154AA" w:rsidRPr="00AD72A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48D1086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434740" w14:textId="77777777" w:rsidR="007154AA" w:rsidRPr="00C94C6D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111418F" w14:textId="4C0AE35B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E0CE696" w14:textId="1549D206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FF6E7F3" w14:textId="77777777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E2D3EDB" w14:textId="77777777" w:rsidR="007154AA" w:rsidRPr="00C94C6D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2A8" w:rsidRPr="00C94C6D" w14:paraId="350B26B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63C8E78" w14:textId="77777777" w:rsidR="00AD72A8" w:rsidRPr="00C94C6D" w:rsidRDefault="00AD72A8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C3261C5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DD83AE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117E22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20A29D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2A8" w:rsidRPr="00C94C6D" w14:paraId="3B53DE92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7D937D7" w14:textId="77777777" w:rsidR="00AD72A8" w:rsidRPr="00C94C6D" w:rsidRDefault="00AD72A8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33FE229" w14:textId="3C3DF1BF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4D41B6F" w14:textId="3638CDDA" w:rsidR="00AD72A8" w:rsidRPr="00AD72A8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82D3150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8C9A88D" w14:textId="77777777" w:rsidR="00AD72A8" w:rsidRPr="00C94C6D" w:rsidRDefault="00AD72A8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6C5AC996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B8E6D78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20A53AF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139382B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B2C8A10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B94361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23F7FBB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1F4682A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84D0A05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E8637E9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E1BB42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7DBBD3F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6E5F45EF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B818A67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3A77E37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BA1D3EE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4C2408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0F2730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18ADBCD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80AD86F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31E08D8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2461D3D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6DC6DA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1684863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40138F0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C31FA11" w14:textId="77777777" w:rsidR="00687BBD" w:rsidRPr="00C94C6D" w:rsidRDefault="00687BBD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53367C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75DD5D1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E07131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E633C77" w14:textId="77777777" w:rsidR="00687BBD" w:rsidRPr="00C94C6D" w:rsidRDefault="00687BBD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C94C6D" w14:paraId="360E58BD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961D0E3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48975ECB" w14:textId="177ED93F" w:rsidR="00D557E3" w:rsidRPr="00C94C6D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38,33%</w:t>
            </w:r>
          </w:p>
        </w:tc>
        <w:tc>
          <w:tcPr>
            <w:tcW w:w="1737" w:type="dxa"/>
            <w:noWrap/>
            <w:vAlign w:val="bottom"/>
          </w:tcPr>
          <w:p w14:paraId="721C72C7" w14:textId="7860FEC1" w:rsidR="00D557E3" w:rsidRPr="00C94C6D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44,91%</w:t>
            </w:r>
          </w:p>
        </w:tc>
        <w:tc>
          <w:tcPr>
            <w:tcW w:w="1736" w:type="dxa"/>
            <w:noWrap/>
            <w:vAlign w:val="center"/>
          </w:tcPr>
          <w:p w14:paraId="486C1EC0" w14:textId="77777777" w:rsidR="00D557E3" w:rsidRPr="00C94C6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6E4794C" w14:textId="77777777" w:rsidR="00D557E3" w:rsidRPr="00C94C6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F6F1583" w14:textId="77777777" w:rsidR="00687BBD" w:rsidRPr="00C94C6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C94C6D" w14:paraId="64185966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3992E0A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6687FB3D" w14:textId="7A528DE1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9BE498D" w14:textId="1AD5785F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C94C6D" w14:paraId="61A9315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52A7A38" w14:textId="6ECCEBC3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199F79DB" w14:textId="43ABBC13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26,89%</w:t>
            </w:r>
          </w:p>
        </w:tc>
        <w:tc>
          <w:tcPr>
            <w:tcW w:w="2977" w:type="dxa"/>
            <w:vAlign w:val="bottom"/>
          </w:tcPr>
          <w:p w14:paraId="1612934A" w14:textId="2E5AFE98" w:rsidR="00D557E3" w:rsidRPr="00AD72A8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29,05%</w:t>
            </w:r>
          </w:p>
        </w:tc>
      </w:tr>
      <w:tr w:rsidR="00D557E3" w:rsidRPr="00C94C6D" w14:paraId="67D19ECE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2D76818" w14:textId="02C0F9BB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CC13A1D" w14:textId="73E5D0F3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37,75%</w:t>
            </w:r>
          </w:p>
        </w:tc>
        <w:tc>
          <w:tcPr>
            <w:tcW w:w="2977" w:type="dxa"/>
            <w:vAlign w:val="bottom"/>
          </w:tcPr>
          <w:p w14:paraId="6BDF1265" w14:textId="528E0245" w:rsidR="00D557E3" w:rsidRPr="00AD72A8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42,89%</w:t>
            </w:r>
          </w:p>
        </w:tc>
      </w:tr>
    </w:tbl>
    <w:p w14:paraId="6FC63740" w14:textId="77777777" w:rsidR="00687BBD" w:rsidRPr="00C94C6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C94C6D" w14:paraId="668780B2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2427A1A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B5307FE" w14:textId="352A1D1A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B667F3A" w14:textId="6274678C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562BB9E6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Variazione</w:t>
            </w:r>
          </w:p>
        </w:tc>
      </w:tr>
      <w:tr w:rsidR="00D557E3" w:rsidRPr="00C94C6D" w14:paraId="3D16198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7612C30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Contratti c/proprio </w:t>
            </w:r>
          </w:p>
        </w:tc>
        <w:tc>
          <w:tcPr>
            <w:tcW w:w="2192" w:type="dxa"/>
            <w:vAlign w:val="bottom"/>
          </w:tcPr>
          <w:p w14:paraId="65E9337B" w14:textId="3DBD3012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12.660.877</w:t>
            </w:r>
          </w:p>
        </w:tc>
        <w:tc>
          <w:tcPr>
            <w:tcW w:w="2460" w:type="dxa"/>
            <w:vAlign w:val="bottom"/>
          </w:tcPr>
          <w:p w14:paraId="3E68F43D" w14:textId="1DEA03E0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12.978.097</w:t>
            </w:r>
          </w:p>
        </w:tc>
        <w:tc>
          <w:tcPr>
            <w:tcW w:w="2259" w:type="dxa"/>
            <w:vAlign w:val="bottom"/>
          </w:tcPr>
          <w:p w14:paraId="5B6E99FB" w14:textId="35A359FA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-2,44%</w:t>
            </w:r>
          </w:p>
        </w:tc>
      </w:tr>
      <w:tr w:rsidR="00D557E3" w:rsidRPr="00C94C6D" w14:paraId="359489B8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3DD7C93" w14:textId="04C34788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3300DFE8" w14:textId="56BFAF19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289.772</w:t>
            </w:r>
          </w:p>
        </w:tc>
        <w:tc>
          <w:tcPr>
            <w:tcW w:w="2460" w:type="dxa"/>
            <w:vAlign w:val="bottom"/>
          </w:tcPr>
          <w:p w14:paraId="439A8C37" w14:textId="12AD45C6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280.528</w:t>
            </w:r>
          </w:p>
        </w:tc>
        <w:tc>
          <w:tcPr>
            <w:tcW w:w="2259" w:type="dxa"/>
            <w:vAlign w:val="bottom"/>
          </w:tcPr>
          <w:p w14:paraId="1B01F805" w14:textId="1C5A81CB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3,30%</w:t>
            </w:r>
          </w:p>
        </w:tc>
      </w:tr>
      <w:tr w:rsidR="00D557E3" w:rsidRPr="00C94C6D" w14:paraId="55C2808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E7430A3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6A7A9A0E" w14:textId="5731F973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43,69</w:t>
            </w:r>
          </w:p>
        </w:tc>
        <w:tc>
          <w:tcPr>
            <w:tcW w:w="2460" w:type="dxa"/>
            <w:vAlign w:val="bottom"/>
          </w:tcPr>
          <w:p w14:paraId="7C74F7CE" w14:textId="333B8D2A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46,26</w:t>
            </w:r>
          </w:p>
        </w:tc>
        <w:tc>
          <w:tcPr>
            <w:tcW w:w="2259" w:type="dxa"/>
            <w:vAlign w:val="bottom"/>
          </w:tcPr>
          <w:p w14:paraId="2E53892E" w14:textId="77777777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CA8F12" w14:textId="77777777" w:rsidR="00687BBD" w:rsidRDefault="00687BBD" w:rsidP="00687BBD">
      <w:pPr>
        <w:numPr>
          <w:ilvl w:val="0"/>
          <w:numId w:val="3"/>
        </w:numPr>
        <w:tabs>
          <w:tab w:val="left" w:pos="2340"/>
        </w:tabs>
        <w:contextualSpacing/>
        <w:jc w:val="both"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FUTURES SU AZIONI</w:t>
      </w:r>
      <w:r w:rsidR="00BB40C2">
        <w:rPr>
          <w:color w:val="4F81BD" w:themeColor="accent1"/>
        </w:rPr>
        <w:t xml:space="preserve"> - </w:t>
      </w:r>
      <w:r w:rsidR="0029301D">
        <w:rPr>
          <w:color w:val="4F81BD" w:themeColor="accent1"/>
        </w:rPr>
        <w:t>CONTRATTI</w:t>
      </w:r>
      <w:r w:rsidR="0029301D" w:rsidRPr="0025586E">
        <w:rPr>
          <w:color w:val="4F81BD" w:themeColor="accent1"/>
        </w:rPr>
        <w:t xml:space="preserve">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CONTO </w:t>
      </w:r>
      <w:r>
        <w:rPr>
          <w:color w:val="4F81BD" w:themeColor="accent1"/>
        </w:rPr>
        <w:t>PROPRIO</w:t>
      </w:r>
    </w:p>
    <w:p w14:paraId="72DF63F4" w14:textId="77777777" w:rsidR="00687BBD" w:rsidRDefault="00687BBD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C94C6D" w14:paraId="31BEA540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7F0A6D3D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E0DC90D" w14:textId="5F5728B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1E6D65C" w14:textId="7CADCD2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FBA4AB6" w14:textId="47F147E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3D2AAD6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02BF766" w14:textId="43F07D6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C94C6D" w14:paraId="626025E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D64DA2" w14:textId="7DC2BCF2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D6D2FB9" w14:textId="32D798F6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7,20%</w:t>
            </w:r>
          </w:p>
        </w:tc>
        <w:tc>
          <w:tcPr>
            <w:tcW w:w="1737" w:type="dxa"/>
            <w:noWrap/>
            <w:vAlign w:val="bottom"/>
          </w:tcPr>
          <w:p w14:paraId="50CC8706" w14:textId="1413D163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1,51%</w:t>
            </w:r>
          </w:p>
        </w:tc>
        <w:tc>
          <w:tcPr>
            <w:tcW w:w="1736" w:type="dxa"/>
            <w:noWrap/>
            <w:vAlign w:val="bottom"/>
          </w:tcPr>
          <w:p w14:paraId="5164E192" w14:textId="57548965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5,69%</w:t>
            </w:r>
          </w:p>
        </w:tc>
        <w:tc>
          <w:tcPr>
            <w:tcW w:w="1737" w:type="dxa"/>
            <w:noWrap/>
            <w:vAlign w:val="bottom"/>
          </w:tcPr>
          <w:p w14:paraId="262E8990" w14:textId="6127DE00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C94C6D" w14:paraId="7EB1DBB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9A67BC" w14:textId="517C9EEF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78A4AD9" w14:textId="34EA171C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5,40%</w:t>
            </w:r>
          </w:p>
        </w:tc>
        <w:tc>
          <w:tcPr>
            <w:tcW w:w="1737" w:type="dxa"/>
            <w:noWrap/>
            <w:vAlign w:val="bottom"/>
          </w:tcPr>
          <w:p w14:paraId="1F663F79" w14:textId="13855050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3,29%</w:t>
            </w:r>
          </w:p>
        </w:tc>
        <w:tc>
          <w:tcPr>
            <w:tcW w:w="1736" w:type="dxa"/>
            <w:noWrap/>
            <w:vAlign w:val="bottom"/>
          </w:tcPr>
          <w:p w14:paraId="309DDA3A" w14:textId="7C66B6F2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2,11%</w:t>
            </w:r>
          </w:p>
        </w:tc>
        <w:tc>
          <w:tcPr>
            <w:tcW w:w="1737" w:type="dxa"/>
            <w:noWrap/>
            <w:vAlign w:val="bottom"/>
          </w:tcPr>
          <w:p w14:paraId="32C9B1AC" w14:textId="0B85505D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C94C6D" w14:paraId="16BA186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46D938" w14:textId="1468A960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107F5D0" w14:textId="0E367416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5,04%</w:t>
            </w:r>
          </w:p>
        </w:tc>
        <w:tc>
          <w:tcPr>
            <w:tcW w:w="1737" w:type="dxa"/>
            <w:noWrap/>
            <w:vAlign w:val="bottom"/>
          </w:tcPr>
          <w:p w14:paraId="496DF671" w14:textId="5A1029E9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4,83%</w:t>
            </w:r>
          </w:p>
        </w:tc>
        <w:tc>
          <w:tcPr>
            <w:tcW w:w="1736" w:type="dxa"/>
            <w:noWrap/>
            <w:vAlign w:val="bottom"/>
          </w:tcPr>
          <w:p w14:paraId="1A942AA4" w14:textId="3924B925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41348409" w14:textId="50DF90B0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C94C6D" w14:paraId="0CBCCBE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47C830" w14:textId="2BBE9E62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68D7DB49" w14:textId="4ACEE566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1,51%</w:t>
            </w:r>
          </w:p>
        </w:tc>
        <w:tc>
          <w:tcPr>
            <w:tcW w:w="1737" w:type="dxa"/>
            <w:noWrap/>
            <w:vAlign w:val="bottom"/>
          </w:tcPr>
          <w:p w14:paraId="3C04777B" w14:textId="7E43650C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12687C1C" w14:textId="7A888C3F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1,41%</w:t>
            </w:r>
          </w:p>
        </w:tc>
        <w:tc>
          <w:tcPr>
            <w:tcW w:w="1737" w:type="dxa"/>
            <w:noWrap/>
            <w:vAlign w:val="bottom"/>
          </w:tcPr>
          <w:p w14:paraId="4D6DEA27" w14:textId="637935B6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C94C6D" w14:paraId="3867ADB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E77925" w14:textId="3C0E6574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681F4F90" w14:textId="0F56E0EB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0,39%</w:t>
            </w:r>
          </w:p>
        </w:tc>
        <w:tc>
          <w:tcPr>
            <w:tcW w:w="1737" w:type="dxa"/>
            <w:noWrap/>
            <w:vAlign w:val="bottom"/>
          </w:tcPr>
          <w:p w14:paraId="143C4053" w14:textId="12FF5FAE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667C710A" w14:textId="6A06548D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4F097203" w14:textId="0FE683DC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C94C6D" w14:paraId="07DB92E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800A09" w14:textId="195D5236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570E0330" w14:textId="2C279971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4F9D3575" w14:textId="063643E5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6" w:type="dxa"/>
            <w:noWrap/>
            <w:vAlign w:val="bottom"/>
          </w:tcPr>
          <w:p w14:paraId="5D18AE5B" w14:textId="6AD75260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-0,13%</w:t>
            </w:r>
          </w:p>
        </w:tc>
        <w:tc>
          <w:tcPr>
            <w:tcW w:w="1737" w:type="dxa"/>
            <w:noWrap/>
            <w:vAlign w:val="bottom"/>
          </w:tcPr>
          <w:p w14:paraId="16E5C5A2" w14:textId="618010D4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C94C6D" w14:paraId="334BB32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9F3A21" w14:textId="09127AD9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3085BCC9" w14:textId="24FF848A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15A838B9" w14:textId="798C7453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194D28B" w14:textId="1C579E53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755E0751" w14:textId="68618787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557E3" w:rsidRPr="00C94C6D" w14:paraId="599AD28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23A079" w14:textId="00993AC9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43D03798" w14:textId="1170E459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25F1A2F4" w14:textId="32F4EE12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1,62%</w:t>
            </w:r>
          </w:p>
        </w:tc>
        <w:tc>
          <w:tcPr>
            <w:tcW w:w="1736" w:type="dxa"/>
            <w:noWrap/>
            <w:vAlign w:val="bottom"/>
          </w:tcPr>
          <w:p w14:paraId="42053139" w14:textId="795DEF4E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-1,60%</w:t>
            </w:r>
          </w:p>
        </w:tc>
        <w:tc>
          <w:tcPr>
            <w:tcW w:w="1737" w:type="dxa"/>
            <w:noWrap/>
            <w:vAlign w:val="bottom"/>
          </w:tcPr>
          <w:p w14:paraId="5C3E3597" w14:textId="23B285D3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C94C6D" w14:paraId="23A2EBD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8C25E5" w14:textId="12C4C2E7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52967E48" w14:textId="2175C3D4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27783EB" w14:textId="3DE6606D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E0CC08F" w14:textId="4A0E0938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A442741" w14:textId="17847819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C94C6D" w14:paraId="081EDDD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C3D6680" w14:textId="500006E3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A921179" w14:textId="2C1507F6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0B501AE" w14:textId="3DDF2582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B0E6F49" w14:textId="34AECE75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3D0461F" w14:textId="31333D5D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C94C6D" w14:paraId="6976304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306A80" w14:textId="15C5F0FB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3728698" w14:textId="65BA78A4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A243BF" w14:textId="3DB312E8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B0DB7A7" w14:textId="19E91444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84B3D2A" w14:textId="1DBB4135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C94C6D" w14:paraId="3FDB8B6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26DA39" w14:textId="33C15330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B8EB305" w14:textId="1AA1367A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C769976" w14:textId="35B39839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2CEA2B1F" w14:textId="45E39B7F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E850347" w14:textId="47D13A57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C94C6D" w14:paraId="7E39D91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804C6E" w14:textId="40B80854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900F985" w14:textId="6F24477E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57129D3" w14:textId="5DD7A9D4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15E5A93" w14:textId="359B0A00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BC5617E" w14:textId="17DB6FA1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C94C6D" w14:paraId="692F3FB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4952A8" w14:textId="58562DDB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73F4C16F" w14:textId="7D2A1780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FADA754" w14:textId="52D48DBF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3F8F97D" w14:textId="3F4EC927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87FE2F" w14:textId="4C87C52B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C94C6D" w14:paraId="3067040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AD40BA" w14:textId="0FA3E0F6" w:rsidR="00D557E3" w:rsidRPr="005C73C4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1598FE35" w14:textId="1CF9E4C8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95CFA8B" w14:textId="39CA94F6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F045E51" w14:textId="2BC18613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5A32FA2" w14:textId="3A413F2D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557E3" w:rsidRPr="00C94C6D" w14:paraId="629AD27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12B138" w14:textId="7B122EA0" w:rsidR="00D557E3" w:rsidRPr="005C73C4" w:rsidRDefault="00D557E3" w:rsidP="00D557E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725BD63" w14:textId="49BA0D41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DDF452D" w14:textId="37E43B0C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96D8A65" w14:textId="3F33D10B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A62FD44" w14:textId="1CAD4B70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774DBCB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8A4633" w14:textId="20D14AC0" w:rsidR="007154AA" w:rsidRPr="005C73C4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BB3FA3B" w14:textId="0AFDAE56" w:rsidR="007154AA" w:rsidRPr="005C73C4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2936BE5" w14:textId="147C98C6" w:rsidR="007154AA" w:rsidRPr="005C73C4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C9F0E73" w14:textId="118E4E43" w:rsidR="007154AA" w:rsidRPr="005C73C4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CFA3EF4" w14:textId="7E4754D4" w:rsidR="007154AA" w:rsidRPr="005C73C4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73C4" w:rsidRPr="00C94C6D" w14:paraId="6AA4F119" w14:textId="77777777" w:rsidTr="005C73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C4D29B7" w14:textId="41793051" w:rsidR="005C73C4" w:rsidRPr="005C73C4" w:rsidRDefault="005C73C4" w:rsidP="005C73C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7465A13" w14:textId="3B623432" w:rsidR="005C73C4" w:rsidRPr="005C73C4" w:rsidRDefault="005C73C4" w:rsidP="005C7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0FA69D7" w14:textId="73CDDB47" w:rsidR="005C73C4" w:rsidRPr="005C73C4" w:rsidRDefault="005C73C4" w:rsidP="005C7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1BB15E7" w14:textId="21C092D6" w:rsidR="005C73C4" w:rsidRPr="005C73C4" w:rsidRDefault="005C73C4" w:rsidP="005C7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1440C9E" w14:textId="182D6D23" w:rsidR="005C73C4" w:rsidRPr="005C73C4" w:rsidRDefault="005C73C4" w:rsidP="005C7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73C4" w:rsidRPr="00C94C6D" w14:paraId="2B3EA5C7" w14:textId="77777777" w:rsidTr="005C7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4C234E8" w14:textId="6E067886" w:rsidR="005C73C4" w:rsidRPr="005C73C4" w:rsidRDefault="005C73C4" w:rsidP="005C73C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974868B" w14:textId="6A0F74F3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65A494E" w14:textId="52BE4FFD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0BB01C4" w14:textId="5627DFB7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13F7A2B" w14:textId="613F5835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73C4" w:rsidRPr="00C94C6D" w14:paraId="09FA1FCE" w14:textId="77777777" w:rsidTr="005C73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D6A9B56" w14:textId="77777777" w:rsidR="005C73C4" w:rsidRPr="00C94C6D" w:rsidRDefault="005C73C4" w:rsidP="005C73C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DD5F621" w14:textId="5EBDD9AB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4501932" w14:textId="7FE71281" w:rsidR="005C73C4" w:rsidRPr="005C73C4" w:rsidRDefault="005C73C4" w:rsidP="005C73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FE35865" w14:textId="77777777" w:rsidR="005C73C4" w:rsidRPr="00C94C6D" w:rsidRDefault="005C73C4" w:rsidP="005C73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FC31499" w14:textId="77777777" w:rsidR="005C73C4" w:rsidRPr="00C94C6D" w:rsidRDefault="005C73C4" w:rsidP="005C73C4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13AE0FCF" w14:textId="77777777" w:rsidTr="002A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BA2DCBA" w14:textId="77777777" w:rsidR="00687BBD" w:rsidRPr="00C94C6D" w:rsidRDefault="00687BBD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1FAC2EF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C150BDC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E74EA3D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64AEE8A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41D2CA53" w14:textId="77777777" w:rsidTr="002A7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7A12C5A" w14:textId="77777777" w:rsidR="00687BBD" w:rsidRPr="00C94C6D" w:rsidRDefault="00687BBD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D2F3C5C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82B49B9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FB80FCD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3432443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7BBD" w:rsidRPr="00C94C6D" w14:paraId="503F8C7E" w14:textId="77777777" w:rsidTr="002A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EA89D88" w14:textId="77777777" w:rsidR="00687BBD" w:rsidRPr="00C94C6D" w:rsidRDefault="00687BBD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5B050E9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81CC0B4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2198CDD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93DBB18" w14:textId="77777777" w:rsidR="00687BBD" w:rsidRPr="00C94C6D" w:rsidRDefault="00687BBD" w:rsidP="007C5CB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2204D7B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0FD9285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AEABC81" w14:textId="2F97B49F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A4E5F93" w14:textId="68D0DC13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BB58BE1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EC40BC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5B3DBA35" w14:textId="77777777" w:rsidTr="002A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ED45C13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3DD2184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55B8BE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413440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224DCF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3CC0BE1F" w14:textId="77777777" w:rsidTr="002A7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A1D7239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6B3E5ED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E887A2F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4C422B0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3736399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4726602D" w14:textId="77777777" w:rsidTr="002A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94A876C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B3A241C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08812E7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F49DB65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5F72835D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1DB7F6F2" w14:textId="77777777" w:rsidTr="002A7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6446C93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A060F2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5803D8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3C4851B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53357B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4C01C61C" w14:textId="77777777" w:rsidTr="002A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5896CFE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427264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CF3B7F3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CE4B66D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D37429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1CE468BA" w14:textId="77777777" w:rsidTr="002A7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B1A0FBD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31DAB142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DCF0486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9ED5075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034992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3668A638" w14:textId="77777777" w:rsidTr="007C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1926F35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69C0EA3E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8E729E3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73EB4D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BAC91F8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C94C6D" w14:paraId="19A8936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BD84FD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CA3C529" w14:textId="293D215A" w:rsidR="00D557E3" w:rsidRPr="00C94C6D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19,84%</w:t>
            </w:r>
          </w:p>
        </w:tc>
        <w:tc>
          <w:tcPr>
            <w:tcW w:w="1737" w:type="dxa"/>
            <w:noWrap/>
            <w:vAlign w:val="bottom"/>
          </w:tcPr>
          <w:p w14:paraId="61CF9B45" w14:textId="29354334" w:rsidR="00D557E3" w:rsidRPr="00C94C6D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11,68%</w:t>
            </w:r>
          </w:p>
        </w:tc>
        <w:tc>
          <w:tcPr>
            <w:tcW w:w="1736" w:type="dxa"/>
            <w:noWrap/>
          </w:tcPr>
          <w:p w14:paraId="74849D20" w14:textId="77777777" w:rsidR="00D557E3" w:rsidRPr="00C94C6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E8CC685" w14:textId="77777777" w:rsidR="00D557E3" w:rsidRPr="00C94C6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32B2A35" w14:textId="77777777" w:rsidR="00687BBD" w:rsidRPr="00C94C6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C94C6D" w14:paraId="306F1D57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9FF2D03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D6EAC60" w14:textId="10E54CDA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09D7A204" w14:textId="7AA8A866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C94C6D" w14:paraId="381129C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1C55AB0" w14:textId="1027017C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B34E1BC" w14:textId="6292EE37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19,53%</w:t>
            </w:r>
          </w:p>
        </w:tc>
        <w:tc>
          <w:tcPr>
            <w:tcW w:w="2977" w:type="dxa"/>
            <w:vAlign w:val="bottom"/>
          </w:tcPr>
          <w:p w14:paraId="36C4D44C" w14:textId="39C99649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11,54%</w:t>
            </w:r>
          </w:p>
        </w:tc>
      </w:tr>
      <w:tr w:rsidR="00D557E3" w:rsidRPr="00C94C6D" w14:paraId="591629FB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57C5352" w14:textId="542689C8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D9521B8" w14:textId="0597545A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19,84%</w:t>
            </w:r>
          </w:p>
        </w:tc>
        <w:tc>
          <w:tcPr>
            <w:tcW w:w="2977" w:type="dxa"/>
            <w:vAlign w:val="bottom"/>
          </w:tcPr>
          <w:p w14:paraId="2D3B5AC6" w14:textId="198BAE67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11,72%</w:t>
            </w:r>
          </w:p>
        </w:tc>
      </w:tr>
    </w:tbl>
    <w:p w14:paraId="42556A09" w14:textId="77777777" w:rsidR="00687BBD" w:rsidRPr="00C94C6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C94C6D" w14:paraId="6ABD6E1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1D1ABAA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3B39524" w14:textId="0F71CD30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5B6D4DA2" w14:textId="7C50D30C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B482B9A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Variazione</w:t>
            </w:r>
          </w:p>
        </w:tc>
      </w:tr>
      <w:tr w:rsidR="00D557E3" w:rsidRPr="00C94C6D" w14:paraId="2A39A69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03441B8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Contratti c/proprio</w:t>
            </w:r>
          </w:p>
        </w:tc>
        <w:tc>
          <w:tcPr>
            <w:tcW w:w="2192" w:type="dxa"/>
            <w:vAlign w:val="bottom"/>
          </w:tcPr>
          <w:p w14:paraId="6FC9E484" w14:textId="17D69B44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2.591.109</w:t>
            </w:r>
          </w:p>
        </w:tc>
        <w:tc>
          <w:tcPr>
            <w:tcW w:w="2460" w:type="dxa"/>
            <w:vAlign w:val="bottom"/>
          </w:tcPr>
          <w:p w14:paraId="2F509065" w14:textId="1F0F489C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2.126.828</w:t>
            </w:r>
          </w:p>
        </w:tc>
        <w:tc>
          <w:tcPr>
            <w:tcW w:w="2259" w:type="dxa"/>
            <w:vAlign w:val="bottom"/>
          </w:tcPr>
          <w:p w14:paraId="40C03EE5" w14:textId="28615866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21,83%</w:t>
            </w:r>
          </w:p>
        </w:tc>
      </w:tr>
      <w:tr w:rsidR="00D557E3" w:rsidRPr="00C94C6D" w14:paraId="606DF15E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0B9C38F" w14:textId="207459CF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Operazioni c/proprio</w:t>
            </w:r>
          </w:p>
        </w:tc>
        <w:tc>
          <w:tcPr>
            <w:tcW w:w="2192" w:type="dxa"/>
            <w:vAlign w:val="bottom"/>
          </w:tcPr>
          <w:p w14:paraId="718FF55A" w14:textId="3988FEB9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3.071</w:t>
            </w:r>
          </w:p>
        </w:tc>
        <w:tc>
          <w:tcPr>
            <w:tcW w:w="2460" w:type="dxa"/>
            <w:vAlign w:val="bottom"/>
          </w:tcPr>
          <w:p w14:paraId="3AC46493" w14:textId="57A0C57D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2.713</w:t>
            </w:r>
          </w:p>
        </w:tc>
        <w:tc>
          <w:tcPr>
            <w:tcW w:w="2259" w:type="dxa"/>
            <w:vAlign w:val="bottom"/>
          </w:tcPr>
          <w:p w14:paraId="1B53298E" w14:textId="4DC534C9" w:rsidR="00D557E3" w:rsidRPr="005C73C4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13,20%</w:t>
            </w:r>
          </w:p>
        </w:tc>
      </w:tr>
      <w:tr w:rsidR="00D557E3" w:rsidRPr="00C94C6D" w14:paraId="02C6835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4D1999B" w14:textId="77777777" w:rsidR="00D557E3" w:rsidRPr="00C94C6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27FED62E" w14:textId="2186DDD6" w:rsidR="00D557E3" w:rsidRPr="005C73C4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843,73</w:t>
            </w:r>
          </w:p>
        </w:tc>
        <w:tc>
          <w:tcPr>
            <w:tcW w:w="2460" w:type="dxa"/>
            <w:vAlign w:val="bottom"/>
          </w:tcPr>
          <w:p w14:paraId="766B7AC0" w14:textId="4DF913E9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783,94</w:t>
            </w:r>
          </w:p>
        </w:tc>
        <w:tc>
          <w:tcPr>
            <w:tcW w:w="2259" w:type="dxa"/>
            <w:vAlign w:val="bottom"/>
          </w:tcPr>
          <w:p w14:paraId="14510200" w14:textId="77777777" w:rsidR="00D557E3" w:rsidRPr="005C73C4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AA0D3B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ACA5BBD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02E4132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987E558" w14:textId="77777777" w:rsidR="00687BBD" w:rsidRPr="00AF18EC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D763410" w14:textId="77777777" w:rsidR="00687BBD" w:rsidRPr="00AF18EC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AB83483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7C3523E" w14:textId="77777777" w:rsidR="00E16918" w:rsidRPr="00AF18EC" w:rsidRDefault="00E16918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B36E766" w14:textId="77777777" w:rsidR="00687BBD" w:rsidRPr="00AF18EC" w:rsidRDefault="00687BBD" w:rsidP="00687BBD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ALLEGATO </w:t>
      </w:r>
      <w:r>
        <w:rPr>
          <w:b/>
          <w:bCs/>
          <w:color w:val="4F81BD" w:themeColor="accent1"/>
          <w:sz w:val="36"/>
          <w:szCs w:val="36"/>
        </w:rPr>
        <w:t>3</w:t>
      </w:r>
    </w:p>
    <w:p w14:paraId="5457E37C" w14:textId="77777777" w:rsidR="00687BBD" w:rsidRPr="00AF18EC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ABEE510" w14:textId="77777777" w:rsidR="00687BBD" w:rsidRPr="00AF18EC" w:rsidRDefault="00687BBD" w:rsidP="00687BBD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CLASSIFICHE CONTROVALORI </w:t>
      </w:r>
      <w:r>
        <w:rPr>
          <w:b/>
          <w:bCs/>
          <w:color w:val="4F81BD" w:themeColor="accent1"/>
          <w:sz w:val="36"/>
          <w:szCs w:val="36"/>
        </w:rPr>
        <w:t xml:space="preserve">TOTALI </w:t>
      </w:r>
      <w:r w:rsidRPr="00AF18EC">
        <w:rPr>
          <w:b/>
          <w:bCs/>
          <w:color w:val="4F81BD" w:themeColor="accent1"/>
          <w:sz w:val="36"/>
          <w:szCs w:val="36"/>
        </w:rPr>
        <w:t xml:space="preserve">NEGOZIATI </w:t>
      </w:r>
    </w:p>
    <w:p w14:paraId="18666890" w14:textId="77777777" w:rsidR="00687BBD" w:rsidRPr="00AF18EC" w:rsidRDefault="00687BBD" w:rsidP="00687BBD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>BORSA ITALIANA</w:t>
      </w:r>
    </w:p>
    <w:p w14:paraId="2BC6164F" w14:textId="77777777" w:rsidR="000966D1" w:rsidRPr="00335EE8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24"/>
          <w:szCs w:val="24"/>
        </w:rPr>
        <w:t>MTA: Azioni diurne, Diritti</w:t>
      </w:r>
    </w:p>
    <w:p w14:paraId="69529ECD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 w:rsidRPr="00335EE8">
        <w:rPr>
          <w:b/>
          <w:bCs/>
          <w:color w:val="4F81BD" w:themeColor="accent1"/>
          <w:sz w:val="24"/>
          <w:szCs w:val="24"/>
        </w:rPr>
        <w:t>DOMESTICMOT</w:t>
      </w:r>
      <w:r>
        <w:rPr>
          <w:b/>
          <w:bCs/>
          <w:color w:val="4F81BD" w:themeColor="accent1"/>
          <w:sz w:val="24"/>
          <w:szCs w:val="24"/>
        </w:rPr>
        <w:t>: Titoli di Stato, Obbligazioni DomesticMOT</w:t>
      </w:r>
    </w:p>
    <w:p w14:paraId="21A310F7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EUROMOT: Obbligazioni EuroMOT</w:t>
      </w:r>
    </w:p>
    <w:p w14:paraId="07CE9C31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EXTRAMOT: Obbligazioni ExtraMOT</w:t>
      </w:r>
    </w:p>
    <w:p w14:paraId="1C4AA9B8" w14:textId="77777777" w:rsidR="000966D1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SEDEX: </w:t>
      </w:r>
      <w:r w:rsidRPr="00335EE8">
        <w:rPr>
          <w:b/>
          <w:bCs/>
          <w:color w:val="4F81BD" w:themeColor="accent1"/>
          <w:sz w:val="24"/>
          <w:szCs w:val="24"/>
        </w:rPr>
        <w:t>Securitised Derivatives</w:t>
      </w:r>
    </w:p>
    <w:p w14:paraId="775DA7DF" w14:textId="77777777" w:rsidR="000966D1" w:rsidRPr="00335EE8" w:rsidRDefault="000966D1" w:rsidP="000966D1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ETFPLUS: ETP</w:t>
      </w:r>
    </w:p>
    <w:p w14:paraId="5EFE0069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FUTURES SU INDICE</w:t>
      </w:r>
    </w:p>
    <w:p w14:paraId="51629349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MINI FUTURES SU INDICE</w:t>
      </w:r>
    </w:p>
    <w:p w14:paraId="4DB93AE0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INDICE</w:t>
      </w:r>
    </w:p>
    <w:p w14:paraId="561477AB" w14:textId="77777777" w:rsidR="006D18E7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OPZIONI SU AZIONI</w:t>
      </w:r>
    </w:p>
    <w:p w14:paraId="6A3FC238" w14:textId="77777777" w:rsidR="006D18E7" w:rsidRPr="00335EE8" w:rsidRDefault="006D18E7" w:rsidP="006D18E7">
      <w:pPr>
        <w:numPr>
          <w:ilvl w:val="1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FUTURES SU AZIONI </w:t>
      </w:r>
    </w:p>
    <w:p w14:paraId="2B0ADC26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AAC76AB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551684C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F1AEDD9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7236731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43A6F9B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0D87EFB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C8C056E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2B900CF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E610537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B11E287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82C1CD2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F5AA4F0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37686AB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5193527" w14:textId="77777777" w:rsidR="009E32B8" w:rsidRDefault="009E32B8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318C347" w14:textId="77777777" w:rsidR="00687BBD" w:rsidRDefault="00687BBD" w:rsidP="00687BBD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80857C7" w14:textId="518419AE" w:rsidR="00687BBD" w:rsidRPr="00AF18EC" w:rsidRDefault="0029301D" w:rsidP="00E16918">
      <w:pPr>
        <w:tabs>
          <w:tab w:val="left" w:pos="2340"/>
        </w:tabs>
        <w:spacing w:before="240"/>
        <w:jc w:val="both"/>
      </w:pPr>
      <w:r w:rsidRPr="00B2004F">
        <w:t>Nota metodologica: L</w:t>
      </w:r>
      <w:r>
        <w:t>e</w:t>
      </w:r>
      <w:r w:rsidRPr="00B2004F">
        <w:t xml:space="preserve"> classific</w:t>
      </w:r>
      <w:r>
        <w:t>he</w:t>
      </w:r>
      <w:r w:rsidRPr="00B2004F">
        <w:t xml:space="preserve"> </w:t>
      </w:r>
      <w:r>
        <w:t>sono</w:t>
      </w:r>
      <w:r w:rsidRPr="00B2004F">
        <w:t xml:space="preserve"> elaborat</w:t>
      </w:r>
      <w:r>
        <w:t>e</w:t>
      </w:r>
      <w:r w:rsidRPr="00B2004F">
        <w:t xml:space="preserve"> sulla base dei controvalori </w:t>
      </w:r>
      <w:r>
        <w:t xml:space="preserve">totali </w:t>
      </w:r>
      <w:r w:rsidR="00DE1813">
        <w:t xml:space="preserve">(conto proprio, conto terzi e </w:t>
      </w:r>
      <w:r w:rsidR="00DE1813" w:rsidRPr="00DE1813">
        <w:rPr>
          <w:i/>
        </w:rPr>
        <w:t>matched principal</w:t>
      </w:r>
      <w:r w:rsidR="00DE1813">
        <w:t xml:space="preserve">) </w:t>
      </w:r>
      <w:r>
        <w:t xml:space="preserve">degli strumenti finanziari negoziati </w:t>
      </w:r>
      <w:r w:rsidRPr="00B2004F">
        <w:t>dagli intermediari Associati su</w:t>
      </w:r>
      <w:r>
        <w:t>i</w:t>
      </w:r>
      <w:r w:rsidRPr="00B2004F">
        <w:t xml:space="preserve"> mercat</w:t>
      </w:r>
      <w:r>
        <w:t>i</w:t>
      </w:r>
      <w:r w:rsidRPr="00B2004F">
        <w:t xml:space="preserve"> </w:t>
      </w:r>
      <w:r>
        <w:t>sopra riportati</w:t>
      </w:r>
      <w:r w:rsidRPr="00B2004F">
        <w:t>.</w:t>
      </w:r>
      <w:r>
        <w:t xml:space="preserve"> Gli intermediari che partecipano ai mercati gestiti da EUROTLX SIM, HI MTF SIM ed EQUIDUCT non hanno autorizzato la pubblicazione della loro operatività totale. </w:t>
      </w:r>
    </w:p>
    <w:p w14:paraId="531C5717" w14:textId="77777777" w:rsidR="00687BBD" w:rsidRPr="00B2619C" w:rsidRDefault="00B2619C" w:rsidP="00B2004F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>BORSA ITALIANA: MTA - CONTROVALORI TOTALI NEGOZIATI</w:t>
      </w:r>
    </w:p>
    <w:p w14:paraId="0145F97B" w14:textId="77777777" w:rsidR="00687BBD" w:rsidRDefault="00687BBD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6949ED" w14:paraId="3057C9F1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74809B47" w14:textId="77777777" w:rsidR="00A635A4" w:rsidRPr="006949E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04D1EA75" w14:textId="2745C8A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41C4CAB" w14:textId="04BA9D5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CB5FE82" w14:textId="738A3CA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BF30A7F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5B74F13E" w14:textId="25E661E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6949ED" w14:paraId="18661D24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EAE40A" w14:textId="5B61F9C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783B2407" w14:textId="58B744EB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6,87%</w:t>
            </w:r>
          </w:p>
        </w:tc>
        <w:tc>
          <w:tcPr>
            <w:tcW w:w="1737" w:type="dxa"/>
            <w:noWrap/>
            <w:vAlign w:val="bottom"/>
          </w:tcPr>
          <w:p w14:paraId="0FE21CED" w14:textId="09DBC31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6,22%</w:t>
            </w:r>
          </w:p>
        </w:tc>
        <w:tc>
          <w:tcPr>
            <w:tcW w:w="1736" w:type="dxa"/>
            <w:noWrap/>
            <w:vAlign w:val="bottom"/>
          </w:tcPr>
          <w:p w14:paraId="707C77A7" w14:textId="4ED8FDE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7" w:type="dxa"/>
            <w:noWrap/>
            <w:vAlign w:val="bottom"/>
          </w:tcPr>
          <w:p w14:paraId="72072D6A" w14:textId="7591AD5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6949ED" w14:paraId="4B34C0E9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78BBA2" w14:textId="70B37FFA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52C2E940" w14:textId="31417B7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5,59%</w:t>
            </w:r>
          </w:p>
        </w:tc>
        <w:tc>
          <w:tcPr>
            <w:tcW w:w="1737" w:type="dxa"/>
            <w:noWrap/>
            <w:vAlign w:val="bottom"/>
          </w:tcPr>
          <w:p w14:paraId="1A7B2D52" w14:textId="3829DEB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5,99%</w:t>
            </w:r>
          </w:p>
        </w:tc>
        <w:tc>
          <w:tcPr>
            <w:tcW w:w="1736" w:type="dxa"/>
            <w:noWrap/>
            <w:vAlign w:val="bottom"/>
          </w:tcPr>
          <w:p w14:paraId="028659F1" w14:textId="3951061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77351A09" w14:textId="746284E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6949ED" w14:paraId="5BC4E077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D97BF1" w14:textId="0290894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4F74A976" w14:textId="7DEE2A1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4,77%</w:t>
            </w:r>
          </w:p>
        </w:tc>
        <w:tc>
          <w:tcPr>
            <w:tcW w:w="1737" w:type="dxa"/>
            <w:noWrap/>
            <w:vAlign w:val="bottom"/>
          </w:tcPr>
          <w:p w14:paraId="4995F6B3" w14:textId="34D1F6B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5,12%</w:t>
            </w:r>
          </w:p>
        </w:tc>
        <w:tc>
          <w:tcPr>
            <w:tcW w:w="1736" w:type="dxa"/>
            <w:noWrap/>
            <w:vAlign w:val="bottom"/>
          </w:tcPr>
          <w:p w14:paraId="1925FAE9" w14:textId="75F2E88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-0,35%</w:t>
            </w:r>
          </w:p>
        </w:tc>
        <w:tc>
          <w:tcPr>
            <w:tcW w:w="1737" w:type="dxa"/>
            <w:noWrap/>
            <w:vAlign w:val="bottom"/>
          </w:tcPr>
          <w:p w14:paraId="611773DD" w14:textId="02CE79C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6949ED" w14:paraId="3C05B71B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E426C0" w14:textId="462283C3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DAF4E59" w14:textId="352599B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4,11%</w:t>
            </w:r>
          </w:p>
        </w:tc>
        <w:tc>
          <w:tcPr>
            <w:tcW w:w="1737" w:type="dxa"/>
            <w:noWrap/>
            <w:vAlign w:val="bottom"/>
          </w:tcPr>
          <w:p w14:paraId="195D6175" w14:textId="7E871C6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3,97%</w:t>
            </w:r>
          </w:p>
        </w:tc>
        <w:tc>
          <w:tcPr>
            <w:tcW w:w="1736" w:type="dxa"/>
            <w:noWrap/>
            <w:vAlign w:val="bottom"/>
          </w:tcPr>
          <w:p w14:paraId="2E709707" w14:textId="205A9A1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305EB2FF" w14:textId="4ED5BD5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6949ED" w14:paraId="26A19736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4E51D0" w14:textId="78CCB446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51A56B95" w14:textId="602CD83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2,94%</w:t>
            </w:r>
          </w:p>
        </w:tc>
        <w:tc>
          <w:tcPr>
            <w:tcW w:w="1737" w:type="dxa"/>
            <w:noWrap/>
            <w:vAlign w:val="bottom"/>
          </w:tcPr>
          <w:p w14:paraId="521D16DC" w14:textId="336EA5E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3,32%</w:t>
            </w:r>
          </w:p>
        </w:tc>
        <w:tc>
          <w:tcPr>
            <w:tcW w:w="1736" w:type="dxa"/>
            <w:noWrap/>
            <w:vAlign w:val="bottom"/>
          </w:tcPr>
          <w:p w14:paraId="4102C6B2" w14:textId="36DF10B8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-0,38%</w:t>
            </w:r>
          </w:p>
        </w:tc>
        <w:tc>
          <w:tcPr>
            <w:tcW w:w="1737" w:type="dxa"/>
            <w:noWrap/>
            <w:vAlign w:val="bottom"/>
          </w:tcPr>
          <w:p w14:paraId="228D6D2A" w14:textId="2691241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6949ED" w14:paraId="03FE589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32B9E0" w14:textId="292301AB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511963F" w14:textId="3F03B92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2,89%</w:t>
            </w:r>
          </w:p>
        </w:tc>
        <w:tc>
          <w:tcPr>
            <w:tcW w:w="1737" w:type="dxa"/>
            <w:noWrap/>
            <w:vAlign w:val="bottom"/>
          </w:tcPr>
          <w:p w14:paraId="1EBDE0DB" w14:textId="0CE2608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3,60%</w:t>
            </w:r>
          </w:p>
        </w:tc>
        <w:tc>
          <w:tcPr>
            <w:tcW w:w="1736" w:type="dxa"/>
            <w:noWrap/>
            <w:vAlign w:val="bottom"/>
          </w:tcPr>
          <w:p w14:paraId="7567EF99" w14:textId="639D518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-0,71%</w:t>
            </w:r>
          </w:p>
        </w:tc>
        <w:tc>
          <w:tcPr>
            <w:tcW w:w="1737" w:type="dxa"/>
            <w:noWrap/>
            <w:vAlign w:val="bottom"/>
          </w:tcPr>
          <w:p w14:paraId="2F5FA9B5" w14:textId="254DEDB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6949ED" w14:paraId="0B01B8BC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99C93C" w14:textId="39A4F2AD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9C9F2F7" w14:textId="07FE99F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2,39%</w:t>
            </w:r>
          </w:p>
        </w:tc>
        <w:tc>
          <w:tcPr>
            <w:tcW w:w="1737" w:type="dxa"/>
            <w:noWrap/>
            <w:vAlign w:val="bottom"/>
          </w:tcPr>
          <w:p w14:paraId="337AC459" w14:textId="4D6628CB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2,14%</w:t>
            </w:r>
          </w:p>
        </w:tc>
        <w:tc>
          <w:tcPr>
            <w:tcW w:w="1736" w:type="dxa"/>
            <w:noWrap/>
            <w:vAlign w:val="bottom"/>
          </w:tcPr>
          <w:p w14:paraId="07CB6347" w14:textId="6337E23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20AC3F36" w14:textId="71ED419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6949ED" w14:paraId="746B1E85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18CE06" w14:textId="35FA7595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EA4B231" w14:textId="647D974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2,36%</w:t>
            </w:r>
          </w:p>
        </w:tc>
        <w:tc>
          <w:tcPr>
            <w:tcW w:w="1737" w:type="dxa"/>
            <w:noWrap/>
            <w:vAlign w:val="bottom"/>
          </w:tcPr>
          <w:p w14:paraId="4F54DEDC" w14:textId="4121DAA2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2,70%</w:t>
            </w:r>
          </w:p>
        </w:tc>
        <w:tc>
          <w:tcPr>
            <w:tcW w:w="1736" w:type="dxa"/>
            <w:noWrap/>
            <w:vAlign w:val="bottom"/>
          </w:tcPr>
          <w:p w14:paraId="05F68EB1" w14:textId="4ACD502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-0,34%</w:t>
            </w:r>
          </w:p>
        </w:tc>
        <w:tc>
          <w:tcPr>
            <w:tcW w:w="1737" w:type="dxa"/>
            <w:noWrap/>
            <w:vAlign w:val="bottom"/>
          </w:tcPr>
          <w:p w14:paraId="5ECCDDF0" w14:textId="4188665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557E3" w:rsidRPr="006949ED" w14:paraId="0F2FFAF0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7EC874" w14:textId="28CC169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6DCF8F6" w14:textId="388A7A2A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2,03%</w:t>
            </w:r>
          </w:p>
        </w:tc>
        <w:tc>
          <w:tcPr>
            <w:tcW w:w="1737" w:type="dxa"/>
            <w:noWrap/>
            <w:vAlign w:val="bottom"/>
          </w:tcPr>
          <w:p w14:paraId="5647C1A5" w14:textId="337D6DA8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2,50%</w:t>
            </w:r>
          </w:p>
        </w:tc>
        <w:tc>
          <w:tcPr>
            <w:tcW w:w="1736" w:type="dxa"/>
            <w:noWrap/>
            <w:vAlign w:val="bottom"/>
          </w:tcPr>
          <w:p w14:paraId="19DCAD56" w14:textId="6DE49C0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-0,47%</w:t>
            </w:r>
          </w:p>
        </w:tc>
        <w:tc>
          <w:tcPr>
            <w:tcW w:w="1737" w:type="dxa"/>
            <w:noWrap/>
            <w:vAlign w:val="bottom"/>
          </w:tcPr>
          <w:p w14:paraId="41F28047" w14:textId="7643664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6949ED" w14:paraId="33D56782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BA862E" w14:textId="12B79D9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4BA6702" w14:textId="2926789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1,92%</w:t>
            </w:r>
          </w:p>
        </w:tc>
        <w:tc>
          <w:tcPr>
            <w:tcW w:w="1737" w:type="dxa"/>
            <w:noWrap/>
            <w:vAlign w:val="bottom"/>
          </w:tcPr>
          <w:p w14:paraId="4E0E7877" w14:textId="43EBEEB3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2,43%</w:t>
            </w:r>
          </w:p>
        </w:tc>
        <w:tc>
          <w:tcPr>
            <w:tcW w:w="1736" w:type="dxa"/>
            <w:noWrap/>
            <w:vAlign w:val="bottom"/>
          </w:tcPr>
          <w:p w14:paraId="1C3044AD" w14:textId="4D31205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-0,51%</w:t>
            </w:r>
          </w:p>
        </w:tc>
        <w:tc>
          <w:tcPr>
            <w:tcW w:w="1737" w:type="dxa"/>
            <w:noWrap/>
            <w:vAlign w:val="bottom"/>
          </w:tcPr>
          <w:p w14:paraId="02C7535A" w14:textId="70B1B4B7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6949ED" w14:paraId="2EE6337F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F0A878" w14:textId="6C6EC2E5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577BBD96" w14:textId="7037B31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1,68%</w:t>
            </w:r>
          </w:p>
        </w:tc>
        <w:tc>
          <w:tcPr>
            <w:tcW w:w="1737" w:type="dxa"/>
            <w:noWrap/>
            <w:vAlign w:val="bottom"/>
          </w:tcPr>
          <w:p w14:paraId="412513F6" w14:textId="23DF5D58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2,14%</w:t>
            </w:r>
          </w:p>
        </w:tc>
        <w:tc>
          <w:tcPr>
            <w:tcW w:w="1736" w:type="dxa"/>
            <w:noWrap/>
            <w:vAlign w:val="bottom"/>
          </w:tcPr>
          <w:p w14:paraId="467B907F" w14:textId="4B0CAB8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-0,45%</w:t>
            </w:r>
          </w:p>
        </w:tc>
        <w:tc>
          <w:tcPr>
            <w:tcW w:w="1737" w:type="dxa"/>
            <w:noWrap/>
            <w:vAlign w:val="bottom"/>
          </w:tcPr>
          <w:p w14:paraId="0D632099" w14:textId="401DE4A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6949ED" w14:paraId="104AB6D5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0526587" w14:textId="55D925B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040DD672" w14:textId="0687E76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1,60%</w:t>
            </w:r>
          </w:p>
        </w:tc>
        <w:tc>
          <w:tcPr>
            <w:tcW w:w="1737" w:type="dxa"/>
            <w:noWrap/>
            <w:vAlign w:val="bottom"/>
          </w:tcPr>
          <w:p w14:paraId="21E88432" w14:textId="26C4DD5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2,12%</w:t>
            </w:r>
          </w:p>
        </w:tc>
        <w:tc>
          <w:tcPr>
            <w:tcW w:w="1736" w:type="dxa"/>
            <w:noWrap/>
            <w:vAlign w:val="bottom"/>
          </w:tcPr>
          <w:p w14:paraId="70242F27" w14:textId="696C2FA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-0,52%</w:t>
            </w:r>
          </w:p>
        </w:tc>
        <w:tc>
          <w:tcPr>
            <w:tcW w:w="1737" w:type="dxa"/>
            <w:noWrap/>
            <w:vAlign w:val="bottom"/>
          </w:tcPr>
          <w:p w14:paraId="3731E5D4" w14:textId="766D7D8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6949ED" w14:paraId="77B7910A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54C16D" w14:textId="617565A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578D4757" w14:textId="6FCAA28B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1,55%</w:t>
            </w:r>
          </w:p>
        </w:tc>
        <w:tc>
          <w:tcPr>
            <w:tcW w:w="1737" w:type="dxa"/>
            <w:noWrap/>
            <w:vAlign w:val="bottom"/>
          </w:tcPr>
          <w:p w14:paraId="61F6BF27" w14:textId="4BCAA2A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2,10%</w:t>
            </w:r>
          </w:p>
        </w:tc>
        <w:tc>
          <w:tcPr>
            <w:tcW w:w="1736" w:type="dxa"/>
            <w:noWrap/>
            <w:vAlign w:val="bottom"/>
          </w:tcPr>
          <w:p w14:paraId="5210203F" w14:textId="37CE0FA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-0,55%</w:t>
            </w:r>
          </w:p>
        </w:tc>
        <w:tc>
          <w:tcPr>
            <w:tcW w:w="1737" w:type="dxa"/>
            <w:noWrap/>
            <w:vAlign w:val="bottom"/>
          </w:tcPr>
          <w:p w14:paraId="4FB1EC00" w14:textId="773C05C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6949ED" w14:paraId="7B43FF17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44330E" w14:textId="54B5E03B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4B6774D4" w14:textId="606821E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1,39%</w:t>
            </w:r>
          </w:p>
        </w:tc>
        <w:tc>
          <w:tcPr>
            <w:tcW w:w="1737" w:type="dxa"/>
            <w:noWrap/>
            <w:vAlign w:val="bottom"/>
          </w:tcPr>
          <w:p w14:paraId="5AF9D390" w14:textId="15E99F6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1,50%</w:t>
            </w:r>
          </w:p>
        </w:tc>
        <w:tc>
          <w:tcPr>
            <w:tcW w:w="1736" w:type="dxa"/>
            <w:noWrap/>
            <w:vAlign w:val="bottom"/>
          </w:tcPr>
          <w:p w14:paraId="3D362064" w14:textId="3E949E9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60857770" w14:textId="6693CEF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557E3" w:rsidRPr="006949ED" w14:paraId="79785E4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9E1BC6" w14:textId="4F7856C3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E9C760A" w14:textId="56A5600A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1,26%</w:t>
            </w:r>
          </w:p>
        </w:tc>
        <w:tc>
          <w:tcPr>
            <w:tcW w:w="1737" w:type="dxa"/>
            <w:noWrap/>
            <w:vAlign w:val="bottom"/>
          </w:tcPr>
          <w:p w14:paraId="736921E4" w14:textId="21623A6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1,23%</w:t>
            </w:r>
          </w:p>
        </w:tc>
        <w:tc>
          <w:tcPr>
            <w:tcW w:w="1736" w:type="dxa"/>
            <w:noWrap/>
            <w:vAlign w:val="bottom"/>
          </w:tcPr>
          <w:p w14:paraId="234613E0" w14:textId="5066271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52754F84" w14:textId="79F5F89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6949ED" w14:paraId="34DB6B35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C6D0FF" w14:textId="6C4DA565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7B4C8772" w14:textId="79CF01E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1,23%</w:t>
            </w:r>
          </w:p>
        </w:tc>
        <w:tc>
          <w:tcPr>
            <w:tcW w:w="1737" w:type="dxa"/>
            <w:noWrap/>
            <w:vAlign w:val="bottom"/>
          </w:tcPr>
          <w:p w14:paraId="41F52530" w14:textId="158928F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1,41%</w:t>
            </w:r>
          </w:p>
        </w:tc>
        <w:tc>
          <w:tcPr>
            <w:tcW w:w="1736" w:type="dxa"/>
            <w:noWrap/>
            <w:vAlign w:val="bottom"/>
          </w:tcPr>
          <w:p w14:paraId="74A0772E" w14:textId="49F5D6DC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-0,18%</w:t>
            </w:r>
          </w:p>
        </w:tc>
        <w:tc>
          <w:tcPr>
            <w:tcW w:w="1737" w:type="dxa"/>
            <w:noWrap/>
            <w:vAlign w:val="bottom"/>
          </w:tcPr>
          <w:p w14:paraId="4B090A42" w14:textId="7740A02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557E3" w:rsidRPr="006949ED" w14:paraId="7B032B1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AC92F0" w14:textId="054D813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78DF45A" w14:textId="0961FA1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7BE40180" w14:textId="0EC4DEB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1,17%</w:t>
            </w:r>
          </w:p>
        </w:tc>
        <w:tc>
          <w:tcPr>
            <w:tcW w:w="1736" w:type="dxa"/>
            <w:noWrap/>
            <w:vAlign w:val="bottom"/>
          </w:tcPr>
          <w:p w14:paraId="751A7F69" w14:textId="319FC99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-0,32%</w:t>
            </w:r>
          </w:p>
        </w:tc>
        <w:tc>
          <w:tcPr>
            <w:tcW w:w="1737" w:type="dxa"/>
            <w:noWrap/>
            <w:vAlign w:val="bottom"/>
          </w:tcPr>
          <w:p w14:paraId="1496DF5A" w14:textId="5A05CD3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557E3" w:rsidRPr="006949ED" w14:paraId="0F13659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3987EA0" w14:textId="2B9FBB7C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4C3E8A61" w14:textId="29E8567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164F854E" w14:textId="514A0BF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6" w:type="dxa"/>
            <w:noWrap/>
            <w:vAlign w:val="bottom"/>
          </w:tcPr>
          <w:p w14:paraId="03B9C18E" w14:textId="20B8E7E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08430B41" w14:textId="70A664F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557E3" w:rsidRPr="006949ED" w14:paraId="33B1E512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2D8621" w14:textId="3A7C007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B7FA13D" w14:textId="422BB46B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7A5987BC" w14:textId="21B5542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6" w:type="dxa"/>
            <w:noWrap/>
            <w:vAlign w:val="bottom"/>
          </w:tcPr>
          <w:p w14:paraId="57B92AAF" w14:textId="44690EA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-0,44%</w:t>
            </w:r>
          </w:p>
        </w:tc>
        <w:tc>
          <w:tcPr>
            <w:tcW w:w="1737" w:type="dxa"/>
            <w:noWrap/>
            <w:vAlign w:val="bottom"/>
          </w:tcPr>
          <w:p w14:paraId="75A77149" w14:textId="0D637A3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557E3" w:rsidRPr="006949ED" w14:paraId="7699B24E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ADBE94" w14:textId="3C53E173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67501D8" w14:textId="78FCDA5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51D47949" w14:textId="1750DBC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6" w:type="dxa"/>
            <w:noWrap/>
            <w:vAlign w:val="bottom"/>
          </w:tcPr>
          <w:p w14:paraId="5F3DB9BD" w14:textId="140B2BB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5E0B67CB" w14:textId="0B99ED72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557E3" w:rsidRPr="006949ED" w14:paraId="178147C7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5A5932" w14:textId="2B36E497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021C7436" w14:textId="73EC34D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18A2F311" w14:textId="47B420F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6" w:type="dxa"/>
            <w:noWrap/>
            <w:vAlign w:val="bottom"/>
          </w:tcPr>
          <w:p w14:paraId="3E53A209" w14:textId="64610C6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297C1012" w14:textId="7A269EF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557E3" w:rsidRPr="006949ED" w14:paraId="259E7EBF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AB4A79" w14:textId="36AE579B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2754F21A" w14:textId="5963AD5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00D8A9BD" w14:textId="5FFE199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6" w:type="dxa"/>
            <w:noWrap/>
            <w:vAlign w:val="bottom"/>
          </w:tcPr>
          <w:p w14:paraId="12F4666B" w14:textId="3228325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4509D789" w14:textId="4B1FD27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557E3" w:rsidRPr="006949ED" w14:paraId="3A34366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712A9F" w14:textId="1EDA65D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2C7CE94F" w14:textId="3B82BD6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4F0F437B" w14:textId="21A9FF4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179C9FFA" w14:textId="11B20F5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EB1E893" w14:textId="7704702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557E3" w:rsidRPr="006949ED" w14:paraId="5E5D157E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18EA83" w14:textId="00503ED3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6E9612E" w14:textId="2186DB6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52420764" w14:textId="4D9CB5F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4A225B19" w14:textId="0FFDDD5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230DAAC5" w14:textId="1921EC57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D557E3" w:rsidRPr="006949ED" w14:paraId="573472D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0E5904" w14:textId="457477E2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2579CAEB" w14:textId="2027EE5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4C6A5264" w14:textId="36F0811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25E7A8F0" w14:textId="4395FDC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348B429" w14:textId="6C3525F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D557E3" w:rsidRPr="006949ED" w14:paraId="288C1794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269C2B" w14:textId="4DFD4AF1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6E41CCF9" w14:textId="0930E8F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D6164DD" w14:textId="3466881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4C676E97" w14:textId="5C8019A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70A7DE2" w14:textId="3964C4B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D557E3" w:rsidRPr="006949ED" w14:paraId="0C5EFC3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713F64" w14:textId="69DC0216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1099A2C4" w14:textId="3849032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105FEF5" w14:textId="6409A32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E130155" w14:textId="60C45E9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A26C4F7" w14:textId="686E924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D557E3" w:rsidRPr="006949ED" w14:paraId="0068E8D8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FEA492" w14:textId="158FC122" w:rsidR="00D557E3" w:rsidRPr="00820FEA" w:rsidRDefault="00D557E3" w:rsidP="00D557E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DFC3FAA" w14:textId="1ACD808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12359AB" w14:textId="1CE1BAF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433A0CE" w14:textId="7904F2A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BACD4B5" w14:textId="0A0B92A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F63FC" w:rsidRPr="006949ED" w14:paraId="2FE547FA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B945B7" w14:textId="73930545" w:rsidR="004F63FC" w:rsidRPr="00820FEA" w:rsidRDefault="004F63FC" w:rsidP="004F63F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5B44D82" w14:textId="50089042" w:rsidR="004F63FC" w:rsidRPr="00820FEA" w:rsidRDefault="004F63FC" w:rsidP="004F6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10E35C9" w14:textId="56993EBC" w:rsidR="004F63FC" w:rsidRPr="00820FEA" w:rsidRDefault="004F63FC" w:rsidP="004F6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9325DC0" w14:textId="23999942" w:rsidR="004F63FC" w:rsidRPr="00820FEA" w:rsidRDefault="004F63FC" w:rsidP="004F6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C4360CC" w14:textId="46F0EBF9" w:rsidR="004F63FC" w:rsidRPr="00820FEA" w:rsidRDefault="004F63FC" w:rsidP="004F6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22AB" w:rsidRPr="006949ED" w14:paraId="44E01ACA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A0721CF" w14:textId="77777777" w:rsidR="001C22AB" w:rsidRPr="006949ED" w:rsidRDefault="001C22AB" w:rsidP="001C22A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4EA8A976" w14:textId="755242F4" w:rsidR="001C22AB" w:rsidRPr="001C22AB" w:rsidRDefault="001C22AB" w:rsidP="001C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779F49A" w14:textId="50129E5D" w:rsidR="001C22AB" w:rsidRPr="001C22AB" w:rsidRDefault="001C22AB" w:rsidP="001C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CA97E87" w14:textId="77777777" w:rsidR="001C22AB" w:rsidRPr="006949ED" w:rsidRDefault="001C22AB" w:rsidP="001C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D67DEED" w14:textId="77777777" w:rsidR="001C22AB" w:rsidRPr="006949ED" w:rsidRDefault="001C22AB" w:rsidP="001C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6949ED" w14:paraId="584F59C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470986A" w14:textId="77777777" w:rsidR="00B2619C" w:rsidRPr="006949ED" w:rsidRDefault="00B2619C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E93FCF7" w14:textId="77777777" w:rsidR="00B2619C" w:rsidRPr="00820FE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E5C5D22" w14:textId="77777777" w:rsidR="00B2619C" w:rsidRPr="00820FE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86DAD2E" w14:textId="77777777" w:rsidR="00B2619C" w:rsidRPr="006949ED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29990A9" w14:textId="77777777" w:rsidR="00B2619C" w:rsidRPr="006949ED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6949ED" w14:paraId="4E5A9088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73495A4" w14:textId="77777777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375D9DB4" w14:textId="055EBFA0" w:rsidR="00D557E3" w:rsidRPr="00153419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47,35%</w:t>
            </w:r>
          </w:p>
        </w:tc>
        <w:tc>
          <w:tcPr>
            <w:tcW w:w="1737" w:type="dxa"/>
            <w:noWrap/>
            <w:vAlign w:val="bottom"/>
          </w:tcPr>
          <w:p w14:paraId="1D77D63D" w14:textId="1EEA20CA" w:rsidR="00D557E3" w:rsidRPr="00153419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50,92%</w:t>
            </w:r>
          </w:p>
        </w:tc>
        <w:tc>
          <w:tcPr>
            <w:tcW w:w="1736" w:type="dxa"/>
            <w:noWrap/>
            <w:vAlign w:val="center"/>
          </w:tcPr>
          <w:p w14:paraId="19629F74" w14:textId="77777777" w:rsidR="00D557E3" w:rsidRPr="006949E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8BEEF1" w14:textId="77777777" w:rsidR="00D557E3" w:rsidRPr="006949ED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3678A5A" w14:textId="77777777" w:rsidR="00687BBD" w:rsidRPr="006949E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6949ED" w14:paraId="30B93DB4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633431D" w14:textId="77777777" w:rsidR="000B3154" w:rsidRPr="006949E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67A26DA6" w14:textId="6F4576DA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D556965" w14:textId="70EDE91C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6949ED" w14:paraId="5532B97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D80FF73" w14:textId="3B84F3C7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68D4CF8B" w14:textId="050F081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24,27%</w:t>
            </w:r>
          </w:p>
        </w:tc>
        <w:tc>
          <w:tcPr>
            <w:tcW w:w="2977" w:type="dxa"/>
            <w:vAlign w:val="bottom"/>
          </w:tcPr>
          <w:p w14:paraId="472AEF7F" w14:textId="2CB60BA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24,91%</w:t>
            </w:r>
          </w:p>
        </w:tc>
      </w:tr>
      <w:tr w:rsidR="00D557E3" w:rsidRPr="006949ED" w14:paraId="2F7D1EF1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60224BC" w14:textId="6C343A1A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6B48089A" w14:textId="5EEA19C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35,86%</w:t>
            </w:r>
          </w:p>
        </w:tc>
        <w:tc>
          <w:tcPr>
            <w:tcW w:w="2977" w:type="dxa"/>
            <w:vAlign w:val="bottom"/>
          </w:tcPr>
          <w:p w14:paraId="457EE0A6" w14:textId="55ECAB4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37,99%</w:t>
            </w:r>
          </w:p>
        </w:tc>
      </w:tr>
    </w:tbl>
    <w:p w14:paraId="6E18C6D5" w14:textId="77777777" w:rsidR="00687BBD" w:rsidRPr="006949ED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6949ED" w14:paraId="4DFDFFF2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790DDED" w14:textId="77777777" w:rsidR="000B3154" w:rsidRPr="006949E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1B9EB361" w14:textId="410D0968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32544164" w14:textId="14AC2244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655D7929" w14:textId="77777777" w:rsidR="000B3154" w:rsidRPr="006949ED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Variazione</w:t>
            </w:r>
          </w:p>
        </w:tc>
      </w:tr>
      <w:tr w:rsidR="00D557E3" w:rsidRPr="006949ED" w14:paraId="0F5943C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450CFE4" w14:textId="77777777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4B4423A9" w14:textId="42D97E56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720.128.025.062</w:t>
            </w:r>
          </w:p>
        </w:tc>
        <w:tc>
          <w:tcPr>
            <w:tcW w:w="2460" w:type="dxa"/>
            <w:vAlign w:val="bottom"/>
          </w:tcPr>
          <w:p w14:paraId="1018EF54" w14:textId="2CD06EB4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679.438.266.929</w:t>
            </w:r>
          </w:p>
        </w:tc>
        <w:tc>
          <w:tcPr>
            <w:tcW w:w="2259" w:type="dxa"/>
            <w:vAlign w:val="bottom"/>
          </w:tcPr>
          <w:p w14:paraId="27A21055" w14:textId="5333B17A" w:rsidR="00D557E3" w:rsidRPr="00153419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5,99%</w:t>
            </w:r>
          </w:p>
        </w:tc>
      </w:tr>
      <w:tr w:rsidR="00D557E3" w:rsidRPr="006949ED" w14:paraId="67BFCCD6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E8AEEC7" w14:textId="58019361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62F74A4B" w14:textId="012C771B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78.099.460</w:t>
            </w:r>
          </w:p>
        </w:tc>
        <w:tc>
          <w:tcPr>
            <w:tcW w:w="2460" w:type="dxa"/>
            <w:vAlign w:val="bottom"/>
          </w:tcPr>
          <w:p w14:paraId="43E9FEC8" w14:textId="21E1FBDC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75.370.098</w:t>
            </w:r>
          </w:p>
        </w:tc>
        <w:tc>
          <w:tcPr>
            <w:tcW w:w="2259" w:type="dxa"/>
            <w:vAlign w:val="bottom"/>
          </w:tcPr>
          <w:p w14:paraId="02E008D7" w14:textId="7587F179" w:rsidR="00D557E3" w:rsidRPr="00153419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3,62%</w:t>
            </w:r>
          </w:p>
        </w:tc>
      </w:tr>
      <w:tr w:rsidR="00D557E3" w:rsidRPr="006949ED" w14:paraId="6E2DCA8F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4221871" w14:textId="77777777" w:rsidR="00D557E3" w:rsidRPr="006949ED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949ED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6B108AB4" w14:textId="7B47B064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9.221</w:t>
            </w:r>
          </w:p>
        </w:tc>
        <w:tc>
          <w:tcPr>
            <w:tcW w:w="2460" w:type="dxa"/>
            <w:vAlign w:val="bottom"/>
          </w:tcPr>
          <w:p w14:paraId="74A60B8E" w14:textId="0846F779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9.015</w:t>
            </w:r>
          </w:p>
        </w:tc>
        <w:tc>
          <w:tcPr>
            <w:tcW w:w="2259" w:type="dxa"/>
            <w:vAlign w:val="bottom"/>
          </w:tcPr>
          <w:p w14:paraId="211643A5" w14:textId="77777777" w:rsidR="00D557E3" w:rsidRPr="00153419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C0C3F0" w14:textId="77777777" w:rsidR="00B2619C" w:rsidRPr="00B2619C" w:rsidRDefault="00B2619C" w:rsidP="00B2619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DOMESTICMOT</w:t>
      </w:r>
      <w:r w:rsidRPr="00B2619C">
        <w:rPr>
          <w:color w:val="4F81BD" w:themeColor="accent1"/>
        </w:rPr>
        <w:t xml:space="preserve"> - CONTROVALORI TOTALI NEGOZIATI</w:t>
      </w:r>
    </w:p>
    <w:p w14:paraId="1729AEEC" w14:textId="77777777" w:rsidR="00687BBD" w:rsidRDefault="00687BBD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367E0C" w14:paraId="326C0436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5285A65" w14:textId="77777777" w:rsidR="00A635A4" w:rsidRPr="00367E0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820932E" w14:textId="3191857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4BB3848" w14:textId="0C72B08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5D6B0390" w14:textId="24435FF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646DAC2E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AE8720C" w14:textId="5E73426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367E0C" w14:paraId="0A5D44B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EA5AE3" w14:textId="1ACF0704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DADBD69" w14:textId="134CDAC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12,51%</w:t>
            </w:r>
          </w:p>
        </w:tc>
        <w:tc>
          <w:tcPr>
            <w:tcW w:w="1737" w:type="dxa"/>
            <w:noWrap/>
            <w:vAlign w:val="bottom"/>
          </w:tcPr>
          <w:p w14:paraId="6D48443A" w14:textId="0671D23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11,78%</w:t>
            </w:r>
          </w:p>
        </w:tc>
        <w:tc>
          <w:tcPr>
            <w:tcW w:w="1736" w:type="dxa"/>
            <w:noWrap/>
            <w:vAlign w:val="bottom"/>
          </w:tcPr>
          <w:p w14:paraId="086E522B" w14:textId="579A8496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7" w:type="dxa"/>
            <w:noWrap/>
            <w:vAlign w:val="bottom"/>
          </w:tcPr>
          <w:p w14:paraId="0B530115" w14:textId="5DDD4AF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367E0C" w14:paraId="4BB89F13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220243" w14:textId="0D915207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EBD9FC1" w14:textId="1B0492C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11,62%</w:t>
            </w:r>
          </w:p>
        </w:tc>
        <w:tc>
          <w:tcPr>
            <w:tcW w:w="1737" w:type="dxa"/>
            <w:noWrap/>
            <w:vAlign w:val="bottom"/>
          </w:tcPr>
          <w:p w14:paraId="3BA679AB" w14:textId="1980045C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10,54%</w:t>
            </w:r>
          </w:p>
        </w:tc>
        <w:tc>
          <w:tcPr>
            <w:tcW w:w="1736" w:type="dxa"/>
            <w:noWrap/>
            <w:vAlign w:val="bottom"/>
          </w:tcPr>
          <w:p w14:paraId="7C9664B1" w14:textId="5F34010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7" w:type="dxa"/>
            <w:noWrap/>
            <w:vAlign w:val="bottom"/>
          </w:tcPr>
          <w:p w14:paraId="30A1D6C2" w14:textId="69177D6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367E0C" w14:paraId="0529E2F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BB8A80" w14:textId="45336DF4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9BD07E0" w14:textId="610DFBA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7,55%</w:t>
            </w:r>
          </w:p>
        </w:tc>
        <w:tc>
          <w:tcPr>
            <w:tcW w:w="1737" w:type="dxa"/>
            <w:noWrap/>
            <w:vAlign w:val="bottom"/>
          </w:tcPr>
          <w:p w14:paraId="53E3D8C4" w14:textId="707D64C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5,77%</w:t>
            </w:r>
          </w:p>
        </w:tc>
        <w:tc>
          <w:tcPr>
            <w:tcW w:w="1736" w:type="dxa"/>
            <w:noWrap/>
            <w:vAlign w:val="bottom"/>
          </w:tcPr>
          <w:p w14:paraId="66FFC07A" w14:textId="159112D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7" w:type="dxa"/>
            <w:noWrap/>
            <w:vAlign w:val="bottom"/>
          </w:tcPr>
          <w:p w14:paraId="7C87EA06" w14:textId="798BCFF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367E0C" w14:paraId="3734919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F5D2A9" w14:textId="03B7049D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B9F7391" w14:textId="1F38BD8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6,60%</w:t>
            </w:r>
          </w:p>
        </w:tc>
        <w:tc>
          <w:tcPr>
            <w:tcW w:w="1737" w:type="dxa"/>
            <w:noWrap/>
            <w:vAlign w:val="bottom"/>
          </w:tcPr>
          <w:p w14:paraId="4F2130CE" w14:textId="5ECA8F6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3,20%</w:t>
            </w:r>
          </w:p>
        </w:tc>
        <w:tc>
          <w:tcPr>
            <w:tcW w:w="1736" w:type="dxa"/>
            <w:noWrap/>
            <w:vAlign w:val="bottom"/>
          </w:tcPr>
          <w:p w14:paraId="475A3257" w14:textId="1BEC02D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3,40%</w:t>
            </w:r>
          </w:p>
        </w:tc>
        <w:tc>
          <w:tcPr>
            <w:tcW w:w="1737" w:type="dxa"/>
            <w:noWrap/>
            <w:vAlign w:val="bottom"/>
          </w:tcPr>
          <w:p w14:paraId="6A4A15D6" w14:textId="4836A4B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367E0C" w14:paraId="3E051D25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C29922" w14:textId="7359BE72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279A58A" w14:textId="54EBFD9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6,37%</w:t>
            </w:r>
          </w:p>
        </w:tc>
        <w:tc>
          <w:tcPr>
            <w:tcW w:w="1737" w:type="dxa"/>
            <w:noWrap/>
            <w:vAlign w:val="bottom"/>
          </w:tcPr>
          <w:p w14:paraId="2FD06019" w14:textId="7C6BA21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4,88%</w:t>
            </w:r>
          </w:p>
        </w:tc>
        <w:tc>
          <w:tcPr>
            <w:tcW w:w="1736" w:type="dxa"/>
            <w:noWrap/>
            <w:vAlign w:val="bottom"/>
          </w:tcPr>
          <w:p w14:paraId="68036510" w14:textId="4835C38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1,50%</w:t>
            </w:r>
          </w:p>
        </w:tc>
        <w:tc>
          <w:tcPr>
            <w:tcW w:w="1737" w:type="dxa"/>
            <w:noWrap/>
            <w:vAlign w:val="bottom"/>
          </w:tcPr>
          <w:p w14:paraId="654909AD" w14:textId="519A684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367E0C" w14:paraId="2C23106C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3BF279" w14:textId="2BA071DF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47D20A96" w14:textId="453D435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5,25%</w:t>
            </w:r>
          </w:p>
        </w:tc>
        <w:tc>
          <w:tcPr>
            <w:tcW w:w="1737" w:type="dxa"/>
            <w:noWrap/>
            <w:vAlign w:val="bottom"/>
          </w:tcPr>
          <w:p w14:paraId="5FECF548" w14:textId="5A4C42F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6,43%</w:t>
            </w:r>
          </w:p>
        </w:tc>
        <w:tc>
          <w:tcPr>
            <w:tcW w:w="1736" w:type="dxa"/>
            <w:noWrap/>
            <w:vAlign w:val="bottom"/>
          </w:tcPr>
          <w:p w14:paraId="208AAE5D" w14:textId="3AB1844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-1,18%</w:t>
            </w:r>
          </w:p>
        </w:tc>
        <w:tc>
          <w:tcPr>
            <w:tcW w:w="1737" w:type="dxa"/>
            <w:noWrap/>
            <w:vAlign w:val="bottom"/>
          </w:tcPr>
          <w:p w14:paraId="034FEC26" w14:textId="472B5D8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367E0C" w14:paraId="76592BCD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39D5ED" w14:textId="65AFA216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DD0DC02" w14:textId="1DEA1FFA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3,65%</w:t>
            </w:r>
          </w:p>
        </w:tc>
        <w:tc>
          <w:tcPr>
            <w:tcW w:w="1737" w:type="dxa"/>
            <w:noWrap/>
            <w:vAlign w:val="bottom"/>
          </w:tcPr>
          <w:p w14:paraId="10951CAF" w14:textId="39D9889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1,57%</w:t>
            </w:r>
          </w:p>
        </w:tc>
        <w:tc>
          <w:tcPr>
            <w:tcW w:w="1736" w:type="dxa"/>
            <w:noWrap/>
            <w:vAlign w:val="bottom"/>
          </w:tcPr>
          <w:p w14:paraId="437A24E4" w14:textId="69591F3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7" w:type="dxa"/>
            <w:noWrap/>
            <w:vAlign w:val="bottom"/>
          </w:tcPr>
          <w:p w14:paraId="3FE604F6" w14:textId="1B0F09C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367E0C" w14:paraId="42141766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F260E4" w14:textId="2AF5C7E5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E7BE9C3" w14:textId="3202580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3,34%</w:t>
            </w:r>
          </w:p>
        </w:tc>
        <w:tc>
          <w:tcPr>
            <w:tcW w:w="1737" w:type="dxa"/>
            <w:noWrap/>
            <w:vAlign w:val="bottom"/>
          </w:tcPr>
          <w:p w14:paraId="02C3BD01" w14:textId="1EF9165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1736" w:type="dxa"/>
            <w:noWrap/>
            <w:vAlign w:val="bottom"/>
          </w:tcPr>
          <w:p w14:paraId="2A3676B4" w14:textId="54D9ACE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-0,23%</w:t>
            </w:r>
          </w:p>
        </w:tc>
        <w:tc>
          <w:tcPr>
            <w:tcW w:w="1737" w:type="dxa"/>
            <w:noWrap/>
            <w:vAlign w:val="bottom"/>
          </w:tcPr>
          <w:p w14:paraId="067498BC" w14:textId="3DCA78A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557E3" w:rsidRPr="00367E0C" w14:paraId="2F49B612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D27940" w14:textId="1B835FA2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008253E3" w14:textId="19F88FD6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3,11%</w:t>
            </w:r>
          </w:p>
        </w:tc>
        <w:tc>
          <w:tcPr>
            <w:tcW w:w="1737" w:type="dxa"/>
            <w:noWrap/>
            <w:vAlign w:val="bottom"/>
          </w:tcPr>
          <w:p w14:paraId="22D8D175" w14:textId="6FB2D13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4,41%</w:t>
            </w:r>
          </w:p>
        </w:tc>
        <w:tc>
          <w:tcPr>
            <w:tcW w:w="1736" w:type="dxa"/>
            <w:noWrap/>
            <w:vAlign w:val="bottom"/>
          </w:tcPr>
          <w:p w14:paraId="72E82C80" w14:textId="3A1222D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-1,30%</w:t>
            </w:r>
          </w:p>
        </w:tc>
        <w:tc>
          <w:tcPr>
            <w:tcW w:w="1737" w:type="dxa"/>
            <w:noWrap/>
            <w:vAlign w:val="bottom"/>
          </w:tcPr>
          <w:p w14:paraId="50001C47" w14:textId="64CEB05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367E0C" w14:paraId="2C76D2B5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DAA80E" w14:textId="684F386A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46E00EC" w14:textId="423439A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2,89%</w:t>
            </w:r>
          </w:p>
        </w:tc>
        <w:tc>
          <w:tcPr>
            <w:tcW w:w="1737" w:type="dxa"/>
            <w:noWrap/>
            <w:vAlign w:val="bottom"/>
          </w:tcPr>
          <w:p w14:paraId="5B261D6C" w14:textId="6894EB9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2,09%</w:t>
            </w:r>
          </w:p>
        </w:tc>
        <w:tc>
          <w:tcPr>
            <w:tcW w:w="1736" w:type="dxa"/>
            <w:noWrap/>
            <w:vAlign w:val="bottom"/>
          </w:tcPr>
          <w:p w14:paraId="6043A135" w14:textId="341F394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0,80%</w:t>
            </w:r>
          </w:p>
        </w:tc>
        <w:tc>
          <w:tcPr>
            <w:tcW w:w="1737" w:type="dxa"/>
            <w:noWrap/>
            <w:vAlign w:val="bottom"/>
          </w:tcPr>
          <w:p w14:paraId="1D8C5A74" w14:textId="2CE62E5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367E0C" w14:paraId="4AB1FD89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7E36EE" w14:textId="158BB01F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360E25BF" w14:textId="2AF04EC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2,27%</w:t>
            </w:r>
          </w:p>
        </w:tc>
        <w:tc>
          <w:tcPr>
            <w:tcW w:w="1737" w:type="dxa"/>
            <w:noWrap/>
            <w:vAlign w:val="bottom"/>
          </w:tcPr>
          <w:p w14:paraId="57CAEFB2" w14:textId="600C21DB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2,28%</w:t>
            </w:r>
          </w:p>
        </w:tc>
        <w:tc>
          <w:tcPr>
            <w:tcW w:w="1736" w:type="dxa"/>
            <w:noWrap/>
            <w:vAlign w:val="bottom"/>
          </w:tcPr>
          <w:p w14:paraId="1F5A5B4E" w14:textId="4C7BB369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86D786E" w14:textId="409EAFB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367E0C" w14:paraId="66F071B3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5847FD" w14:textId="22C7E0E4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ACE78DF" w14:textId="690B436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1,63%</w:t>
            </w:r>
          </w:p>
        </w:tc>
        <w:tc>
          <w:tcPr>
            <w:tcW w:w="1737" w:type="dxa"/>
            <w:noWrap/>
            <w:vAlign w:val="bottom"/>
          </w:tcPr>
          <w:p w14:paraId="1DFFD330" w14:textId="70257F3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0,86%</w:t>
            </w:r>
          </w:p>
        </w:tc>
        <w:tc>
          <w:tcPr>
            <w:tcW w:w="1736" w:type="dxa"/>
            <w:noWrap/>
            <w:vAlign w:val="bottom"/>
          </w:tcPr>
          <w:p w14:paraId="7A55998C" w14:textId="698E2EA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0,78%</w:t>
            </w:r>
          </w:p>
        </w:tc>
        <w:tc>
          <w:tcPr>
            <w:tcW w:w="1737" w:type="dxa"/>
            <w:noWrap/>
            <w:vAlign w:val="bottom"/>
          </w:tcPr>
          <w:p w14:paraId="40F08A25" w14:textId="0EA1B0FD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557E3" w:rsidRPr="00367E0C" w14:paraId="584D71AA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146CC13" w14:textId="6C0FA356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040FCBE6" w14:textId="2EFA1AB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1,33%</w:t>
            </w:r>
          </w:p>
        </w:tc>
        <w:tc>
          <w:tcPr>
            <w:tcW w:w="1737" w:type="dxa"/>
            <w:noWrap/>
            <w:vAlign w:val="bottom"/>
          </w:tcPr>
          <w:p w14:paraId="6D0DE59B" w14:textId="4BE0D8A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0,92%</w:t>
            </w:r>
          </w:p>
        </w:tc>
        <w:tc>
          <w:tcPr>
            <w:tcW w:w="1736" w:type="dxa"/>
            <w:noWrap/>
            <w:vAlign w:val="bottom"/>
          </w:tcPr>
          <w:p w14:paraId="492E6E35" w14:textId="0BE401D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1546CDAF" w14:textId="45267A8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367E0C" w14:paraId="02E4515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E0E5E5A" w14:textId="70377172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78466321" w14:textId="1A080B8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1,09%</w:t>
            </w:r>
          </w:p>
        </w:tc>
        <w:tc>
          <w:tcPr>
            <w:tcW w:w="1737" w:type="dxa"/>
            <w:noWrap/>
            <w:vAlign w:val="bottom"/>
          </w:tcPr>
          <w:p w14:paraId="3F55F149" w14:textId="41AF80FA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0,87%</w:t>
            </w:r>
          </w:p>
        </w:tc>
        <w:tc>
          <w:tcPr>
            <w:tcW w:w="1736" w:type="dxa"/>
            <w:noWrap/>
            <w:vAlign w:val="bottom"/>
          </w:tcPr>
          <w:p w14:paraId="5F164094" w14:textId="04F3DA7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73B85D68" w14:textId="1A114421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557E3" w:rsidRPr="00367E0C" w14:paraId="23C3970C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1192D6" w14:textId="236F563F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93AC482" w14:textId="014C6178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7E917280" w14:textId="6A43DD0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0,79%</w:t>
            </w:r>
          </w:p>
        </w:tc>
        <w:tc>
          <w:tcPr>
            <w:tcW w:w="1736" w:type="dxa"/>
            <w:noWrap/>
            <w:vAlign w:val="bottom"/>
          </w:tcPr>
          <w:p w14:paraId="2CE28DCD" w14:textId="48827A3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-0,11%</w:t>
            </w:r>
          </w:p>
        </w:tc>
        <w:tc>
          <w:tcPr>
            <w:tcW w:w="1737" w:type="dxa"/>
            <w:noWrap/>
            <w:vAlign w:val="bottom"/>
          </w:tcPr>
          <w:p w14:paraId="0A66C5EC" w14:textId="5097187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367E0C" w14:paraId="48B3E881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867690" w14:textId="4F91BB68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3E7F2590" w14:textId="24CF778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2ED0E872" w14:textId="4628207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2,67%</w:t>
            </w:r>
          </w:p>
        </w:tc>
        <w:tc>
          <w:tcPr>
            <w:tcW w:w="1736" w:type="dxa"/>
            <w:noWrap/>
            <w:vAlign w:val="bottom"/>
          </w:tcPr>
          <w:p w14:paraId="1F721CCE" w14:textId="0C738E6B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-2,15%</w:t>
            </w:r>
          </w:p>
        </w:tc>
        <w:tc>
          <w:tcPr>
            <w:tcW w:w="1737" w:type="dxa"/>
            <w:noWrap/>
            <w:vAlign w:val="bottom"/>
          </w:tcPr>
          <w:p w14:paraId="77C7D7EF" w14:textId="482B500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367E0C" w14:paraId="0FFE7DAC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EB804B" w14:textId="40A9D603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3DA59882" w14:textId="4E84172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14D89636" w14:textId="3C78A90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54074712" w14:textId="7BFA43EA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363E52E2" w14:textId="4B0C734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557E3" w:rsidRPr="00367E0C" w14:paraId="2BD7BFF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127F398" w14:textId="37B01E39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4B8EC54" w14:textId="7A8454F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254F31C0" w14:textId="41BC3C8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6A34676B" w14:textId="6D6BEFAC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77705773" w14:textId="60D67C63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557E3" w:rsidRPr="00367E0C" w14:paraId="6D178756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ECB490" w14:textId="1F6ED92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29D7AA84" w14:textId="7A8E6CCF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51B55841" w14:textId="44F13CC2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6" w:type="dxa"/>
            <w:noWrap/>
            <w:vAlign w:val="bottom"/>
          </w:tcPr>
          <w:p w14:paraId="35078856" w14:textId="75B4A62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7D061318" w14:textId="2E582C6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557E3" w:rsidRPr="00367E0C" w14:paraId="2120D2A3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AFE5C1" w14:textId="07ABF7EF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090DEC2B" w14:textId="6B534C1C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7" w:type="dxa"/>
            <w:noWrap/>
            <w:vAlign w:val="bottom"/>
          </w:tcPr>
          <w:p w14:paraId="7629D2EF" w14:textId="759BC887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3D8E0632" w14:textId="7468D4B5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0C90913F" w14:textId="74B512B8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557E3" w:rsidRPr="00367E0C" w14:paraId="5E45C96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3D8C43" w14:textId="619C1D7E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6B3AA008" w14:textId="3D24665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431A4DDE" w14:textId="3876928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6" w:type="dxa"/>
            <w:noWrap/>
            <w:vAlign w:val="bottom"/>
          </w:tcPr>
          <w:p w14:paraId="632A0AE6" w14:textId="37DF77F1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5EF0FDCF" w14:textId="130935EA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557E3" w:rsidRPr="00367E0C" w14:paraId="1FD33401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4BB6FA" w14:textId="636611EB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11B770C3" w14:textId="5DCA624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456D9772" w14:textId="38281116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6" w:type="dxa"/>
            <w:noWrap/>
            <w:vAlign w:val="bottom"/>
          </w:tcPr>
          <w:p w14:paraId="1857C982" w14:textId="742438A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7ADA3293" w14:textId="2C9F543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557E3" w:rsidRPr="00367E0C" w14:paraId="5446184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7ED4EC" w14:textId="776D7B58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10BB0AF3" w14:textId="3E21CADE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729FBC01" w14:textId="31706FB4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74FC6740" w14:textId="417A2A0D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211E9E1" w14:textId="06AC108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D557E3" w:rsidRPr="00367E0C" w14:paraId="012B5E4D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1F51B0" w14:textId="120238A0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Leonardo</w:t>
            </w:r>
          </w:p>
        </w:tc>
        <w:tc>
          <w:tcPr>
            <w:tcW w:w="1736" w:type="dxa"/>
            <w:noWrap/>
            <w:vAlign w:val="bottom"/>
          </w:tcPr>
          <w:p w14:paraId="6C8D8F3F" w14:textId="7A430D17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0DBD5A94" w14:textId="795A29AE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34488874" w14:textId="12FE0202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-0,30%</w:t>
            </w:r>
          </w:p>
        </w:tc>
        <w:tc>
          <w:tcPr>
            <w:tcW w:w="1737" w:type="dxa"/>
            <w:noWrap/>
            <w:vAlign w:val="bottom"/>
          </w:tcPr>
          <w:p w14:paraId="5DA795D1" w14:textId="359FBBB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557E3" w:rsidRPr="00367E0C" w14:paraId="096CFB09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CD6E9C" w14:textId="1C7C0569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1F19512F" w14:textId="6B026983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294C367E" w14:textId="5696C2AC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6BD33F03" w14:textId="70B71287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2253B9F" w14:textId="3A4EC146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557E3" w:rsidRPr="00367E0C" w14:paraId="6E69AE3C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E74B8E" w14:textId="7A597A8F" w:rsidR="00D557E3" w:rsidRPr="00820FEA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Ersel SIM</w:t>
            </w:r>
          </w:p>
        </w:tc>
        <w:tc>
          <w:tcPr>
            <w:tcW w:w="1736" w:type="dxa"/>
            <w:noWrap/>
            <w:vAlign w:val="bottom"/>
          </w:tcPr>
          <w:p w14:paraId="284A64C6" w14:textId="55BFC1E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908BFC5" w14:textId="387D8704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6FB1B91D" w14:textId="42B179B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1017717E" w14:textId="2D977CC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D557E3" w:rsidRPr="00367E0C" w14:paraId="0D71A7F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4E2E3A" w14:textId="38A1D0AE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D505FC8" w14:textId="5A13BAC5" w:rsidR="00D557E3" w:rsidRPr="001C22AB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F774709" w14:textId="2DC0D763" w:rsidR="00D557E3" w:rsidRPr="001C22AB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DECF3C5" w14:textId="52507FED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6509BB0" w14:textId="31638776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288C96D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C44D63D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DBCE81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8E1DBB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1753DE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AF949AF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6BC2476D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4838EE6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60DCA66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A1A716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7DB87C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1B6A1A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0A6C24E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73B1497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919F3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D963AA6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754F68F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1836FFD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27CE287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1D0DCFA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4BA56F5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BA6E3D3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C7EE201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B11DB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367E0C" w14:paraId="53FDD2B6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AF3F491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BFA1825" w14:textId="6B260FBC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72,21%</w:t>
            </w:r>
          </w:p>
        </w:tc>
        <w:tc>
          <w:tcPr>
            <w:tcW w:w="1737" w:type="dxa"/>
            <w:noWrap/>
            <w:vAlign w:val="bottom"/>
          </w:tcPr>
          <w:p w14:paraId="747D297E" w14:textId="2E36954F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62,23%</w:t>
            </w:r>
          </w:p>
        </w:tc>
        <w:tc>
          <w:tcPr>
            <w:tcW w:w="1736" w:type="dxa"/>
            <w:noWrap/>
            <w:vAlign w:val="center"/>
          </w:tcPr>
          <w:p w14:paraId="00ADAFE7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241DE67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B89656C" w14:textId="77777777" w:rsidR="00687BBD" w:rsidRPr="00367E0C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367E0C" w14:paraId="76EB84DD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104C589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F1B08C9" w14:textId="5E405E36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B2CF624" w14:textId="38669309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367E0C" w14:paraId="3C4A53FF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454FE8E" w14:textId="17A963BA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0BB67990" w14:textId="018A0DB5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44,66%</w:t>
            </w:r>
          </w:p>
        </w:tc>
        <w:tc>
          <w:tcPr>
            <w:tcW w:w="2977" w:type="dxa"/>
            <w:vAlign w:val="bottom"/>
          </w:tcPr>
          <w:p w14:paraId="726232F8" w14:textId="283C7980" w:rsidR="00D557E3" w:rsidRPr="00820FEA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39,39%</w:t>
            </w:r>
          </w:p>
        </w:tc>
      </w:tr>
      <w:tr w:rsidR="00D557E3" w:rsidRPr="00367E0C" w14:paraId="7936A778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A8539E1" w14:textId="4587C314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340A10DB" w14:textId="330DE570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62,90%</w:t>
            </w:r>
          </w:p>
        </w:tc>
        <w:tc>
          <w:tcPr>
            <w:tcW w:w="2977" w:type="dxa"/>
            <w:vAlign w:val="bottom"/>
          </w:tcPr>
          <w:p w14:paraId="01356A2B" w14:textId="3727D909" w:rsidR="00D557E3" w:rsidRPr="00820FEA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55,52%</w:t>
            </w:r>
          </w:p>
        </w:tc>
      </w:tr>
    </w:tbl>
    <w:p w14:paraId="40C39B1C" w14:textId="77777777" w:rsidR="00687BBD" w:rsidRPr="00367E0C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367E0C" w14:paraId="10B4D0A8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B225192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5EA0240E" w14:textId="2CA088B4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40941B02" w14:textId="67C81E50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CDCE11D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Variazione</w:t>
            </w:r>
          </w:p>
        </w:tc>
      </w:tr>
      <w:tr w:rsidR="00D557E3" w:rsidRPr="00367E0C" w14:paraId="5420E93D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3B57C93" w14:textId="77777777" w:rsidR="00D557E3" w:rsidRPr="009420F6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420F6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6478C813" w14:textId="4664E30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190.910.887.785</w:t>
            </w:r>
          </w:p>
        </w:tc>
        <w:tc>
          <w:tcPr>
            <w:tcW w:w="2460" w:type="dxa"/>
            <w:vAlign w:val="bottom"/>
          </w:tcPr>
          <w:p w14:paraId="08A07558" w14:textId="276736E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205.095.084.258</w:t>
            </w:r>
          </w:p>
        </w:tc>
        <w:tc>
          <w:tcPr>
            <w:tcW w:w="2259" w:type="dxa"/>
            <w:vAlign w:val="bottom"/>
          </w:tcPr>
          <w:p w14:paraId="0EC26ECA" w14:textId="3DB1F2D7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-6,92%</w:t>
            </w:r>
          </w:p>
        </w:tc>
      </w:tr>
      <w:tr w:rsidR="00D557E3" w:rsidRPr="00367E0C" w14:paraId="6ED50CB1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DA0A94C" w14:textId="3B9F14D7" w:rsidR="00D557E3" w:rsidRPr="009420F6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420F6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678B7DCE" w14:textId="6EBE016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3.172.420</w:t>
            </w:r>
          </w:p>
        </w:tc>
        <w:tc>
          <w:tcPr>
            <w:tcW w:w="2460" w:type="dxa"/>
            <w:vAlign w:val="bottom"/>
          </w:tcPr>
          <w:p w14:paraId="6D6646B0" w14:textId="0A491B26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2.952.720</w:t>
            </w:r>
          </w:p>
        </w:tc>
        <w:tc>
          <w:tcPr>
            <w:tcW w:w="2259" w:type="dxa"/>
            <w:vAlign w:val="bottom"/>
          </w:tcPr>
          <w:p w14:paraId="07B2BBA3" w14:textId="31A339FA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7,44%</w:t>
            </w:r>
          </w:p>
        </w:tc>
      </w:tr>
      <w:tr w:rsidR="00D557E3" w:rsidRPr="00367E0C" w14:paraId="30540DE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E54D024" w14:textId="77777777" w:rsidR="00D557E3" w:rsidRPr="009420F6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420F6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16C2005F" w14:textId="5DF3F5F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60.178</w:t>
            </w:r>
          </w:p>
        </w:tc>
        <w:tc>
          <w:tcPr>
            <w:tcW w:w="2460" w:type="dxa"/>
            <w:vAlign w:val="bottom"/>
          </w:tcPr>
          <w:p w14:paraId="2B9509C4" w14:textId="73313118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69.460</w:t>
            </w:r>
          </w:p>
        </w:tc>
        <w:tc>
          <w:tcPr>
            <w:tcW w:w="2259" w:type="dxa"/>
            <w:vAlign w:val="bottom"/>
          </w:tcPr>
          <w:p w14:paraId="0FA46219" w14:textId="7777777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3A6594C" w14:textId="77777777" w:rsidR="00B2619C" w:rsidRPr="00B2619C" w:rsidRDefault="00B2619C" w:rsidP="00B2619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EUROMOT</w:t>
      </w:r>
      <w:r w:rsidRPr="00B2619C">
        <w:rPr>
          <w:color w:val="4F81BD" w:themeColor="accent1"/>
        </w:rPr>
        <w:t xml:space="preserve"> - CONTROVALORI TOTALI NEGOZIATI</w:t>
      </w:r>
    </w:p>
    <w:p w14:paraId="3FBC6E2F" w14:textId="77777777" w:rsidR="00687BBD" w:rsidRDefault="00687BBD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367E0C" w14:paraId="0076BF10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ADBD60B" w14:textId="77777777" w:rsidR="00A635A4" w:rsidRPr="00367E0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EAF3D17" w14:textId="476A203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3C74DB5" w14:textId="7A08CFDE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FFCF4FD" w14:textId="1D41A76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C7566B5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22BE7AB9" w14:textId="5EF1DD2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367E0C" w14:paraId="1748872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8C7099" w14:textId="74DA9C5D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4C888BB" w14:textId="01AD8B3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19,72%</w:t>
            </w:r>
          </w:p>
        </w:tc>
        <w:tc>
          <w:tcPr>
            <w:tcW w:w="1737" w:type="dxa"/>
            <w:noWrap/>
            <w:vAlign w:val="bottom"/>
          </w:tcPr>
          <w:p w14:paraId="0C324980" w14:textId="79C2279F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23,37%</w:t>
            </w:r>
          </w:p>
        </w:tc>
        <w:tc>
          <w:tcPr>
            <w:tcW w:w="1736" w:type="dxa"/>
            <w:noWrap/>
            <w:vAlign w:val="bottom"/>
          </w:tcPr>
          <w:p w14:paraId="003A65A2" w14:textId="287707E2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-3,65%</w:t>
            </w:r>
          </w:p>
        </w:tc>
        <w:tc>
          <w:tcPr>
            <w:tcW w:w="1737" w:type="dxa"/>
            <w:noWrap/>
            <w:vAlign w:val="bottom"/>
          </w:tcPr>
          <w:p w14:paraId="5B5998D2" w14:textId="7976431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367E0C" w14:paraId="02BC7D55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74F938" w14:textId="48F8A8F7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689B954" w14:textId="0676DCE2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17,99%</w:t>
            </w:r>
          </w:p>
        </w:tc>
        <w:tc>
          <w:tcPr>
            <w:tcW w:w="1737" w:type="dxa"/>
            <w:noWrap/>
            <w:vAlign w:val="bottom"/>
          </w:tcPr>
          <w:p w14:paraId="0C979925" w14:textId="190472B7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14,45%</w:t>
            </w:r>
          </w:p>
        </w:tc>
        <w:tc>
          <w:tcPr>
            <w:tcW w:w="1736" w:type="dxa"/>
            <w:noWrap/>
            <w:vAlign w:val="bottom"/>
          </w:tcPr>
          <w:p w14:paraId="2EDADAD0" w14:textId="5AB19B30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3,54%</w:t>
            </w:r>
          </w:p>
        </w:tc>
        <w:tc>
          <w:tcPr>
            <w:tcW w:w="1737" w:type="dxa"/>
            <w:noWrap/>
            <w:vAlign w:val="bottom"/>
          </w:tcPr>
          <w:p w14:paraId="1D092426" w14:textId="6A9B6FE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367E0C" w14:paraId="601216DD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20C9D9" w14:textId="6821E216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48EC4481" w14:textId="76EB640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9,42%</w:t>
            </w:r>
          </w:p>
        </w:tc>
        <w:tc>
          <w:tcPr>
            <w:tcW w:w="1737" w:type="dxa"/>
            <w:noWrap/>
            <w:vAlign w:val="bottom"/>
          </w:tcPr>
          <w:p w14:paraId="2B0CDBF6" w14:textId="3F69019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1736" w:type="dxa"/>
            <w:noWrap/>
            <w:vAlign w:val="bottom"/>
          </w:tcPr>
          <w:p w14:paraId="275F30B4" w14:textId="3A6EB561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-1,29%</w:t>
            </w:r>
          </w:p>
        </w:tc>
        <w:tc>
          <w:tcPr>
            <w:tcW w:w="1737" w:type="dxa"/>
            <w:noWrap/>
            <w:vAlign w:val="bottom"/>
          </w:tcPr>
          <w:p w14:paraId="09DC360C" w14:textId="44311491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367E0C" w14:paraId="177A03C8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1041871" w14:textId="29EEDFB6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052A8012" w14:textId="4C09053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7,37%</w:t>
            </w:r>
          </w:p>
        </w:tc>
        <w:tc>
          <w:tcPr>
            <w:tcW w:w="1737" w:type="dxa"/>
            <w:noWrap/>
            <w:vAlign w:val="bottom"/>
          </w:tcPr>
          <w:p w14:paraId="4A7FDDEC" w14:textId="1119B60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6" w:type="dxa"/>
            <w:noWrap/>
            <w:vAlign w:val="bottom"/>
          </w:tcPr>
          <w:p w14:paraId="26718718" w14:textId="2268A9A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6,77%</w:t>
            </w:r>
          </w:p>
        </w:tc>
        <w:tc>
          <w:tcPr>
            <w:tcW w:w="1737" w:type="dxa"/>
            <w:noWrap/>
            <w:vAlign w:val="bottom"/>
          </w:tcPr>
          <w:p w14:paraId="6C586DD2" w14:textId="2440F1E4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557E3" w:rsidRPr="00367E0C" w14:paraId="2795C149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EFD81D" w14:textId="6A8C6E39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2429CD1" w14:textId="286D7BF7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6,29%</w:t>
            </w:r>
          </w:p>
        </w:tc>
        <w:tc>
          <w:tcPr>
            <w:tcW w:w="1737" w:type="dxa"/>
            <w:noWrap/>
            <w:vAlign w:val="bottom"/>
          </w:tcPr>
          <w:p w14:paraId="2086ADF5" w14:textId="0B3984DB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3,38%</w:t>
            </w:r>
          </w:p>
        </w:tc>
        <w:tc>
          <w:tcPr>
            <w:tcW w:w="1736" w:type="dxa"/>
            <w:noWrap/>
            <w:vAlign w:val="bottom"/>
          </w:tcPr>
          <w:p w14:paraId="69CC5409" w14:textId="38AA7C08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2,91%</w:t>
            </w:r>
          </w:p>
        </w:tc>
        <w:tc>
          <w:tcPr>
            <w:tcW w:w="1737" w:type="dxa"/>
            <w:noWrap/>
            <w:vAlign w:val="bottom"/>
          </w:tcPr>
          <w:p w14:paraId="5EC0DAC6" w14:textId="7F651AC4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367E0C" w14:paraId="33665E1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24E1D1" w14:textId="64C0C591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1CF7CFAB" w14:textId="526828F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1737" w:type="dxa"/>
            <w:noWrap/>
            <w:vAlign w:val="bottom"/>
          </w:tcPr>
          <w:p w14:paraId="69E68432" w14:textId="00F844A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4,33%</w:t>
            </w:r>
          </w:p>
        </w:tc>
        <w:tc>
          <w:tcPr>
            <w:tcW w:w="1736" w:type="dxa"/>
            <w:noWrap/>
            <w:vAlign w:val="bottom"/>
          </w:tcPr>
          <w:p w14:paraId="4B6A7164" w14:textId="4F6F7C7C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4D8CF380" w14:textId="03078083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367E0C" w14:paraId="0951607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34D4CC" w14:textId="51D9C9E7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7AD48FA4" w14:textId="2B23721F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4,15%</w:t>
            </w:r>
          </w:p>
        </w:tc>
        <w:tc>
          <w:tcPr>
            <w:tcW w:w="1737" w:type="dxa"/>
            <w:noWrap/>
            <w:vAlign w:val="bottom"/>
          </w:tcPr>
          <w:p w14:paraId="47977865" w14:textId="09DDD98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4,45%</w:t>
            </w:r>
          </w:p>
        </w:tc>
        <w:tc>
          <w:tcPr>
            <w:tcW w:w="1736" w:type="dxa"/>
            <w:noWrap/>
            <w:vAlign w:val="bottom"/>
          </w:tcPr>
          <w:p w14:paraId="18F2913C" w14:textId="1EEE770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-0,30%</w:t>
            </w:r>
          </w:p>
        </w:tc>
        <w:tc>
          <w:tcPr>
            <w:tcW w:w="1737" w:type="dxa"/>
            <w:noWrap/>
            <w:vAlign w:val="bottom"/>
          </w:tcPr>
          <w:p w14:paraId="2CBA7CC5" w14:textId="3D58BB08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367E0C" w14:paraId="373D6EDA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EE9956" w14:textId="100BEEF0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97D457F" w14:textId="34DA162D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3,26%</w:t>
            </w:r>
          </w:p>
        </w:tc>
        <w:tc>
          <w:tcPr>
            <w:tcW w:w="1737" w:type="dxa"/>
            <w:noWrap/>
            <w:vAlign w:val="bottom"/>
          </w:tcPr>
          <w:p w14:paraId="25DFD708" w14:textId="2D917D89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2,76%</w:t>
            </w:r>
          </w:p>
        </w:tc>
        <w:tc>
          <w:tcPr>
            <w:tcW w:w="1736" w:type="dxa"/>
            <w:noWrap/>
            <w:vAlign w:val="bottom"/>
          </w:tcPr>
          <w:p w14:paraId="174902BC" w14:textId="4189CBA8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7" w:type="dxa"/>
            <w:noWrap/>
            <w:vAlign w:val="bottom"/>
          </w:tcPr>
          <w:p w14:paraId="66FA9BF2" w14:textId="5E56D288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367E0C" w14:paraId="3BBC5B4A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D2762A" w14:textId="43D797D4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70C025A" w14:textId="40E8737C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2,61%</w:t>
            </w:r>
          </w:p>
        </w:tc>
        <w:tc>
          <w:tcPr>
            <w:tcW w:w="1737" w:type="dxa"/>
            <w:noWrap/>
            <w:vAlign w:val="bottom"/>
          </w:tcPr>
          <w:p w14:paraId="72C2E90B" w14:textId="30A34339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1,99%</w:t>
            </w:r>
          </w:p>
        </w:tc>
        <w:tc>
          <w:tcPr>
            <w:tcW w:w="1736" w:type="dxa"/>
            <w:noWrap/>
            <w:vAlign w:val="bottom"/>
          </w:tcPr>
          <w:p w14:paraId="3A734D99" w14:textId="0256C01F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0,62%</w:t>
            </w:r>
          </w:p>
        </w:tc>
        <w:tc>
          <w:tcPr>
            <w:tcW w:w="1737" w:type="dxa"/>
            <w:noWrap/>
            <w:vAlign w:val="bottom"/>
          </w:tcPr>
          <w:p w14:paraId="7474B122" w14:textId="551513A4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367E0C" w14:paraId="313403D7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06FC20" w14:textId="249F6521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B033416" w14:textId="11F778B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2,32%</w:t>
            </w:r>
          </w:p>
        </w:tc>
        <w:tc>
          <w:tcPr>
            <w:tcW w:w="1737" w:type="dxa"/>
            <w:noWrap/>
            <w:vAlign w:val="bottom"/>
          </w:tcPr>
          <w:p w14:paraId="24F20F61" w14:textId="5DDE89CD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2,81%</w:t>
            </w:r>
          </w:p>
        </w:tc>
        <w:tc>
          <w:tcPr>
            <w:tcW w:w="1736" w:type="dxa"/>
            <w:noWrap/>
            <w:vAlign w:val="bottom"/>
          </w:tcPr>
          <w:p w14:paraId="7544B87A" w14:textId="3D595357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-0,49%</w:t>
            </w:r>
          </w:p>
        </w:tc>
        <w:tc>
          <w:tcPr>
            <w:tcW w:w="1737" w:type="dxa"/>
            <w:noWrap/>
            <w:vAlign w:val="bottom"/>
          </w:tcPr>
          <w:p w14:paraId="68662205" w14:textId="26DF1097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367E0C" w14:paraId="7FA8750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8429C5" w14:textId="568C3E7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0433C29" w14:textId="5D45D56A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2,00%</w:t>
            </w:r>
          </w:p>
        </w:tc>
        <w:tc>
          <w:tcPr>
            <w:tcW w:w="1737" w:type="dxa"/>
            <w:noWrap/>
            <w:vAlign w:val="bottom"/>
          </w:tcPr>
          <w:p w14:paraId="5E67E9AD" w14:textId="5B193074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3,37%</w:t>
            </w:r>
          </w:p>
        </w:tc>
        <w:tc>
          <w:tcPr>
            <w:tcW w:w="1736" w:type="dxa"/>
            <w:noWrap/>
            <w:vAlign w:val="bottom"/>
          </w:tcPr>
          <w:p w14:paraId="537C8A8E" w14:textId="7064B00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-1,38%</w:t>
            </w:r>
          </w:p>
        </w:tc>
        <w:tc>
          <w:tcPr>
            <w:tcW w:w="1737" w:type="dxa"/>
            <w:noWrap/>
            <w:vAlign w:val="bottom"/>
          </w:tcPr>
          <w:p w14:paraId="6BDC5B53" w14:textId="61C1C6DF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557E3" w:rsidRPr="00367E0C" w14:paraId="322C3D4C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9DE9A6" w14:textId="61F73A0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5119855B" w14:textId="647A9A73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1,59%</w:t>
            </w:r>
          </w:p>
        </w:tc>
        <w:tc>
          <w:tcPr>
            <w:tcW w:w="1737" w:type="dxa"/>
            <w:noWrap/>
            <w:vAlign w:val="bottom"/>
          </w:tcPr>
          <w:p w14:paraId="5B1DDE3B" w14:textId="4E84218A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1,34%</w:t>
            </w:r>
          </w:p>
        </w:tc>
        <w:tc>
          <w:tcPr>
            <w:tcW w:w="1736" w:type="dxa"/>
            <w:noWrap/>
            <w:vAlign w:val="bottom"/>
          </w:tcPr>
          <w:p w14:paraId="23E36609" w14:textId="3E079D53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65CE309F" w14:textId="452B4C19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367E0C" w14:paraId="627A8D9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3857E9" w14:textId="291337D8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A91748A" w14:textId="61522E5C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7" w:type="dxa"/>
            <w:noWrap/>
            <w:vAlign w:val="bottom"/>
          </w:tcPr>
          <w:p w14:paraId="5930A560" w14:textId="28C977E9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6" w:type="dxa"/>
            <w:noWrap/>
            <w:vAlign w:val="bottom"/>
          </w:tcPr>
          <w:p w14:paraId="3A454C83" w14:textId="5409DC1E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0F950201" w14:textId="194E46C3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367E0C" w14:paraId="1CE2DB6D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97DB84" w14:textId="6AFD74D7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66CD06C1" w14:textId="18783952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1,14%</w:t>
            </w:r>
          </w:p>
        </w:tc>
        <w:tc>
          <w:tcPr>
            <w:tcW w:w="1737" w:type="dxa"/>
            <w:noWrap/>
            <w:vAlign w:val="bottom"/>
          </w:tcPr>
          <w:p w14:paraId="628915F8" w14:textId="573BB0C4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1,12%</w:t>
            </w:r>
          </w:p>
        </w:tc>
        <w:tc>
          <w:tcPr>
            <w:tcW w:w="1736" w:type="dxa"/>
            <w:noWrap/>
            <w:vAlign w:val="bottom"/>
          </w:tcPr>
          <w:p w14:paraId="401CAE99" w14:textId="27F92EF7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76305D1" w14:textId="1D8B7274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557E3" w:rsidRPr="00367E0C" w14:paraId="7A1EF2A6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08966D" w14:textId="09B292E0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27FA56B" w14:textId="22B960D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0,94%</w:t>
            </w:r>
          </w:p>
        </w:tc>
        <w:tc>
          <w:tcPr>
            <w:tcW w:w="1737" w:type="dxa"/>
            <w:noWrap/>
            <w:vAlign w:val="bottom"/>
          </w:tcPr>
          <w:p w14:paraId="05F9E133" w14:textId="3CC4B3D4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1,17%</w:t>
            </w:r>
          </w:p>
        </w:tc>
        <w:tc>
          <w:tcPr>
            <w:tcW w:w="1736" w:type="dxa"/>
            <w:noWrap/>
            <w:vAlign w:val="bottom"/>
          </w:tcPr>
          <w:p w14:paraId="5E412782" w14:textId="6133ADCC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-0,23%</w:t>
            </w:r>
          </w:p>
        </w:tc>
        <w:tc>
          <w:tcPr>
            <w:tcW w:w="1737" w:type="dxa"/>
            <w:noWrap/>
            <w:vAlign w:val="bottom"/>
          </w:tcPr>
          <w:p w14:paraId="04959918" w14:textId="169F468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367E0C" w14:paraId="134D617D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4FCEB5" w14:textId="77614D3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60B9A7BB" w14:textId="6ADCC65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7" w:type="dxa"/>
            <w:noWrap/>
            <w:vAlign w:val="bottom"/>
          </w:tcPr>
          <w:p w14:paraId="4D6490B1" w14:textId="32B300C1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0,78%</w:t>
            </w:r>
          </w:p>
        </w:tc>
        <w:tc>
          <w:tcPr>
            <w:tcW w:w="1736" w:type="dxa"/>
            <w:noWrap/>
            <w:vAlign w:val="bottom"/>
          </w:tcPr>
          <w:p w14:paraId="260FB563" w14:textId="1830C8A7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43AE5DB2" w14:textId="228E6EA9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367E0C" w14:paraId="5C71C110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A1BA80" w14:textId="4D380184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497C7BEB" w14:textId="789F00AA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0,66%</w:t>
            </w:r>
          </w:p>
        </w:tc>
        <w:tc>
          <w:tcPr>
            <w:tcW w:w="1737" w:type="dxa"/>
            <w:noWrap/>
            <w:vAlign w:val="bottom"/>
          </w:tcPr>
          <w:p w14:paraId="47AAC1C9" w14:textId="06E96030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6" w:type="dxa"/>
            <w:noWrap/>
            <w:vAlign w:val="bottom"/>
          </w:tcPr>
          <w:p w14:paraId="7CD90692" w14:textId="421BD09A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-0,39%</w:t>
            </w:r>
          </w:p>
        </w:tc>
        <w:tc>
          <w:tcPr>
            <w:tcW w:w="1737" w:type="dxa"/>
            <w:noWrap/>
            <w:vAlign w:val="bottom"/>
          </w:tcPr>
          <w:p w14:paraId="2CDE04FA" w14:textId="401E8281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557E3" w:rsidRPr="00367E0C" w14:paraId="66A46534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085F47" w14:textId="7FFCF96A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433BDFD0" w14:textId="19EDC3C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7" w:type="dxa"/>
            <w:noWrap/>
            <w:vAlign w:val="bottom"/>
          </w:tcPr>
          <w:p w14:paraId="6B06112A" w14:textId="517D754D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0,69%</w:t>
            </w:r>
          </w:p>
        </w:tc>
        <w:tc>
          <w:tcPr>
            <w:tcW w:w="1736" w:type="dxa"/>
            <w:noWrap/>
            <w:vAlign w:val="bottom"/>
          </w:tcPr>
          <w:p w14:paraId="62CD79F5" w14:textId="5509DF0B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7FCC9606" w14:textId="76BE7B30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557E3" w:rsidRPr="00367E0C" w14:paraId="5D0B3D54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BCB7400" w14:textId="0488EA9C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572E045B" w14:textId="139D140D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7" w:type="dxa"/>
            <w:noWrap/>
            <w:vAlign w:val="bottom"/>
          </w:tcPr>
          <w:p w14:paraId="1B6A0787" w14:textId="0C17051A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4DAF922B" w14:textId="6A2B69C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7" w:type="dxa"/>
            <w:noWrap/>
            <w:vAlign w:val="bottom"/>
          </w:tcPr>
          <w:p w14:paraId="63876A70" w14:textId="1E8594AB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557E3" w:rsidRPr="00367E0C" w14:paraId="018EBC8F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3C95E9" w14:textId="05A51F65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64FCFAF" w14:textId="2AB20CC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0EDF1D5B" w14:textId="0BA20DA3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2075E90D" w14:textId="62F1CEAD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667A6C04" w14:textId="71929FFB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557E3" w:rsidRPr="00367E0C" w14:paraId="291AE0EF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E46B07" w14:textId="211057EC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64EAC468" w14:textId="0B09B667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1D7DBF6C" w14:textId="0EA753B4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C254C73" w14:textId="4442E267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3DF2DD26" w14:textId="54F4643B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557E3" w:rsidRPr="00367E0C" w14:paraId="4B3BF5B1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33FA68" w14:textId="3EB60AF8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701A297E" w14:textId="68CF964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36B6AC14" w14:textId="7EC4CE8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18F444EC" w14:textId="5F33D560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E04DA6A" w14:textId="628DB6E3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557E3" w:rsidRPr="00367E0C" w14:paraId="4B33BAB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4D5167" w14:textId="71AE1BB2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6F38CEE8" w14:textId="3F6977D2" w:rsidR="00D557E3" w:rsidRPr="001C22AB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71668919" w14:textId="4C268C61" w:rsidR="00D557E3" w:rsidRPr="001C22AB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5A676CD" w14:textId="7DE43DF3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E284D8B" w14:textId="382995E1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557E3" w:rsidRPr="00367E0C" w14:paraId="79866763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8FDE6C" w14:textId="3B1BA905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C548F15" w14:textId="7ECE478E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301D4CB" w14:textId="60858F10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84D6A7B" w14:textId="408DEC09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CFAB88A" w14:textId="2544195E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1FF0DE3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4393854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232AFA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D88876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9BF8B68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53DA78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05C9845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68A061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19D62A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239C953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ED343D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FFA061F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3393BBC3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E6D679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8BEA3C5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49D7ECD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9166E3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C8E20F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2D61EBB4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596F05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903FC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AEAC7C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BFDD52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3E75984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0660FB3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09C2E8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2B2F97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718478E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97DF4D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25D4C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0FCECA44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1921870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CC06803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C63277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2ECC056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F9B9C7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4E02B52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B32535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B50DA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0D869BF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95DAE3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F02D3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367E0C" w14:paraId="2CE169D7" w14:textId="77777777" w:rsidTr="004F6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8EB5DEC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587F03A5" w14:textId="6EB4B8B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87,87%</w:t>
            </w:r>
          </w:p>
        </w:tc>
        <w:tc>
          <w:tcPr>
            <w:tcW w:w="1737" w:type="dxa"/>
            <w:noWrap/>
            <w:vAlign w:val="bottom"/>
          </w:tcPr>
          <w:p w14:paraId="1BBBB3C6" w14:textId="261EED0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77,11%</w:t>
            </w:r>
          </w:p>
        </w:tc>
        <w:tc>
          <w:tcPr>
            <w:tcW w:w="1736" w:type="dxa"/>
            <w:noWrap/>
            <w:vAlign w:val="center"/>
          </w:tcPr>
          <w:p w14:paraId="0AEC7CD0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D7CEEC9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EA62842" w14:textId="77777777" w:rsidR="00B2619C" w:rsidRPr="00367E0C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367E0C" w14:paraId="3A3DA3F2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7634CF0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278B4850" w14:textId="6619CE5E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561F696" w14:textId="616037F2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367E0C" w14:paraId="73F1923E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9C75161" w14:textId="617267F1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1E89E79B" w14:textId="77BE5D40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60,79%</w:t>
            </w:r>
          </w:p>
        </w:tc>
        <w:tc>
          <w:tcPr>
            <w:tcW w:w="2977" w:type="dxa"/>
            <w:vAlign w:val="bottom"/>
          </w:tcPr>
          <w:p w14:paraId="2B86F855" w14:textId="5D0C46AD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57,31%</w:t>
            </w:r>
          </w:p>
        </w:tc>
      </w:tr>
      <w:tr w:rsidR="00D557E3" w:rsidRPr="00367E0C" w14:paraId="7EBD1E7A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5844BAA" w14:textId="62E649C4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F57650B" w14:textId="3B004060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77,90%</w:t>
            </w:r>
          </w:p>
        </w:tc>
        <w:tc>
          <w:tcPr>
            <w:tcW w:w="2977" w:type="dxa"/>
            <w:vAlign w:val="bottom"/>
          </w:tcPr>
          <w:p w14:paraId="26CC17E3" w14:textId="13B28170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71,62%</w:t>
            </w:r>
          </w:p>
        </w:tc>
      </w:tr>
    </w:tbl>
    <w:p w14:paraId="3847254F" w14:textId="77777777" w:rsidR="00B2619C" w:rsidRPr="00367E0C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367E0C" w14:paraId="19612971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C6F0C43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B362188" w14:textId="56AB69DD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6B14B48" w14:textId="3CF44EB4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2AA1B9C9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Variazione</w:t>
            </w:r>
          </w:p>
        </w:tc>
      </w:tr>
      <w:tr w:rsidR="00D557E3" w:rsidRPr="00367E0C" w14:paraId="11F78E33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F7F8A39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1AE69310" w14:textId="4727A84C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10.953.641.192</w:t>
            </w:r>
          </w:p>
        </w:tc>
        <w:tc>
          <w:tcPr>
            <w:tcW w:w="2460" w:type="dxa"/>
            <w:vAlign w:val="bottom"/>
          </w:tcPr>
          <w:p w14:paraId="1AA484F0" w14:textId="57703AE2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12.308.069.184</w:t>
            </w:r>
          </w:p>
        </w:tc>
        <w:tc>
          <w:tcPr>
            <w:tcW w:w="2259" w:type="dxa"/>
            <w:vAlign w:val="bottom"/>
          </w:tcPr>
          <w:p w14:paraId="348CA08A" w14:textId="078FD0B0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-11,00%</w:t>
            </w:r>
          </w:p>
        </w:tc>
      </w:tr>
      <w:tr w:rsidR="00D557E3" w:rsidRPr="00367E0C" w14:paraId="79D16AB5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116F99E" w14:textId="626207F8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4972F9FD" w14:textId="3345A89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644.964</w:t>
            </w:r>
          </w:p>
        </w:tc>
        <w:tc>
          <w:tcPr>
            <w:tcW w:w="2460" w:type="dxa"/>
            <w:vAlign w:val="bottom"/>
          </w:tcPr>
          <w:p w14:paraId="5AED45B6" w14:textId="12614242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807.798</w:t>
            </w:r>
          </w:p>
        </w:tc>
        <w:tc>
          <w:tcPr>
            <w:tcW w:w="2259" w:type="dxa"/>
            <w:vAlign w:val="bottom"/>
          </w:tcPr>
          <w:p w14:paraId="5B98390C" w14:textId="3837A78F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-20,16%</w:t>
            </w:r>
          </w:p>
        </w:tc>
      </w:tr>
      <w:tr w:rsidR="00D557E3" w:rsidRPr="00367E0C" w14:paraId="4F13AAF2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1F78A6D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40866E5C" w14:textId="4A23DAA9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16.983</w:t>
            </w:r>
          </w:p>
        </w:tc>
        <w:tc>
          <w:tcPr>
            <w:tcW w:w="2460" w:type="dxa"/>
            <w:vAlign w:val="bottom"/>
          </w:tcPr>
          <w:p w14:paraId="00449585" w14:textId="5C886AB2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Calibri" w:hAnsi="Calibri" w:cs="Calibri"/>
              </w:rPr>
              <w:t>15.237</w:t>
            </w:r>
          </w:p>
        </w:tc>
        <w:tc>
          <w:tcPr>
            <w:tcW w:w="2259" w:type="dxa"/>
            <w:vAlign w:val="bottom"/>
          </w:tcPr>
          <w:p w14:paraId="6228B77A" w14:textId="77777777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091F628" w14:textId="77777777" w:rsidR="00B2619C" w:rsidRPr="00B2619C" w:rsidRDefault="00B2619C" w:rsidP="00B2619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EXTRAMOT</w:t>
      </w:r>
      <w:r w:rsidRPr="00B2619C">
        <w:rPr>
          <w:color w:val="4F81BD" w:themeColor="accent1"/>
        </w:rPr>
        <w:t xml:space="preserve"> - CONTROVALORI TOTALI NEGOZIATI</w:t>
      </w:r>
    </w:p>
    <w:p w14:paraId="3A9D3A1E" w14:textId="77777777" w:rsidR="00B2619C" w:rsidRDefault="00B2619C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367E0C" w14:paraId="3C2CBA5B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CCB65B8" w14:textId="77777777" w:rsidR="00A635A4" w:rsidRPr="00367E0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20A0EFF" w14:textId="0D04BED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6EE2D98" w14:textId="5183FC5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6A57FBB4" w14:textId="54E693A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2B0C229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EC30F40" w14:textId="5215545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557E3" w:rsidRPr="00367E0C" w14:paraId="0D5AA834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F60010" w14:textId="3D8776B3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A6D38D5" w14:textId="10E17B6F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17,77%</w:t>
            </w:r>
          </w:p>
        </w:tc>
        <w:tc>
          <w:tcPr>
            <w:tcW w:w="1737" w:type="dxa"/>
            <w:noWrap/>
            <w:vAlign w:val="bottom"/>
          </w:tcPr>
          <w:p w14:paraId="7B2A271B" w14:textId="354912F6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17,84%</w:t>
            </w:r>
          </w:p>
        </w:tc>
        <w:tc>
          <w:tcPr>
            <w:tcW w:w="1736" w:type="dxa"/>
            <w:noWrap/>
            <w:vAlign w:val="bottom"/>
          </w:tcPr>
          <w:p w14:paraId="1B2B2DF2" w14:textId="4F6945B4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-0,06%</w:t>
            </w:r>
          </w:p>
        </w:tc>
        <w:tc>
          <w:tcPr>
            <w:tcW w:w="1737" w:type="dxa"/>
            <w:noWrap/>
            <w:vAlign w:val="bottom"/>
          </w:tcPr>
          <w:p w14:paraId="628E6F8F" w14:textId="14A3D82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557E3" w:rsidRPr="00367E0C" w14:paraId="09E4A1A0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F391E7" w14:textId="6CA8B1ED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403141E8" w14:textId="1EBEB5C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15,20%</w:t>
            </w:r>
          </w:p>
        </w:tc>
        <w:tc>
          <w:tcPr>
            <w:tcW w:w="1737" w:type="dxa"/>
            <w:noWrap/>
            <w:vAlign w:val="bottom"/>
          </w:tcPr>
          <w:p w14:paraId="3CBA25D7" w14:textId="1551581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10,45%</w:t>
            </w:r>
          </w:p>
        </w:tc>
        <w:tc>
          <w:tcPr>
            <w:tcW w:w="1736" w:type="dxa"/>
            <w:noWrap/>
            <w:vAlign w:val="bottom"/>
          </w:tcPr>
          <w:p w14:paraId="4C4A8AA9" w14:textId="6CADED75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4,75%</w:t>
            </w:r>
          </w:p>
        </w:tc>
        <w:tc>
          <w:tcPr>
            <w:tcW w:w="1737" w:type="dxa"/>
            <w:noWrap/>
            <w:vAlign w:val="bottom"/>
          </w:tcPr>
          <w:p w14:paraId="62B66243" w14:textId="677B7FB0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557E3" w:rsidRPr="00367E0C" w14:paraId="68E5C3CB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191F37" w14:textId="07DE6938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5CF3B47" w14:textId="7A773A7E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13,50%</w:t>
            </w:r>
          </w:p>
        </w:tc>
        <w:tc>
          <w:tcPr>
            <w:tcW w:w="1737" w:type="dxa"/>
            <w:noWrap/>
            <w:vAlign w:val="bottom"/>
          </w:tcPr>
          <w:p w14:paraId="4A21D268" w14:textId="4B0BF9F8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12,80%</w:t>
            </w:r>
          </w:p>
        </w:tc>
        <w:tc>
          <w:tcPr>
            <w:tcW w:w="1736" w:type="dxa"/>
            <w:noWrap/>
            <w:vAlign w:val="bottom"/>
          </w:tcPr>
          <w:p w14:paraId="0E91C1CA" w14:textId="2581853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08C42C57" w14:textId="74E0A54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557E3" w:rsidRPr="00367E0C" w14:paraId="35238162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9539CE" w14:textId="6931C998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4D785BA" w14:textId="360FB199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8,52%</w:t>
            </w:r>
          </w:p>
        </w:tc>
        <w:tc>
          <w:tcPr>
            <w:tcW w:w="1737" w:type="dxa"/>
            <w:noWrap/>
            <w:vAlign w:val="bottom"/>
          </w:tcPr>
          <w:p w14:paraId="3B320E02" w14:textId="131D0B35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6,67%</w:t>
            </w:r>
          </w:p>
        </w:tc>
        <w:tc>
          <w:tcPr>
            <w:tcW w:w="1736" w:type="dxa"/>
            <w:noWrap/>
            <w:vAlign w:val="bottom"/>
          </w:tcPr>
          <w:p w14:paraId="0A50299D" w14:textId="5C43B4D0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40591911" w14:textId="2C7C711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57E3" w:rsidRPr="00367E0C" w14:paraId="273518C4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E276F22" w14:textId="3D0C78C5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9DF3FB9" w14:textId="2281F47C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6,41%</w:t>
            </w:r>
          </w:p>
        </w:tc>
        <w:tc>
          <w:tcPr>
            <w:tcW w:w="1737" w:type="dxa"/>
            <w:noWrap/>
            <w:vAlign w:val="bottom"/>
          </w:tcPr>
          <w:p w14:paraId="449C63EA" w14:textId="6E8D077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6,66%</w:t>
            </w:r>
          </w:p>
        </w:tc>
        <w:tc>
          <w:tcPr>
            <w:tcW w:w="1736" w:type="dxa"/>
            <w:noWrap/>
            <w:vAlign w:val="bottom"/>
          </w:tcPr>
          <w:p w14:paraId="3EB1DB54" w14:textId="336573C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-0,25%</w:t>
            </w:r>
          </w:p>
        </w:tc>
        <w:tc>
          <w:tcPr>
            <w:tcW w:w="1737" w:type="dxa"/>
            <w:noWrap/>
            <w:vAlign w:val="bottom"/>
          </w:tcPr>
          <w:p w14:paraId="4837FEC1" w14:textId="561818D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557E3" w:rsidRPr="00367E0C" w14:paraId="7657CD7C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B03EB33" w14:textId="757F12F4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062CEC2" w14:textId="270702B8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3,08%</w:t>
            </w:r>
          </w:p>
        </w:tc>
        <w:tc>
          <w:tcPr>
            <w:tcW w:w="1737" w:type="dxa"/>
            <w:noWrap/>
            <w:vAlign w:val="bottom"/>
          </w:tcPr>
          <w:p w14:paraId="09A2AA0B" w14:textId="53000BD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2,77%</w:t>
            </w:r>
          </w:p>
        </w:tc>
        <w:tc>
          <w:tcPr>
            <w:tcW w:w="1736" w:type="dxa"/>
            <w:noWrap/>
            <w:vAlign w:val="bottom"/>
          </w:tcPr>
          <w:p w14:paraId="40621900" w14:textId="43D3C78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7" w:type="dxa"/>
            <w:noWrap/>
            <w:vAlign w:val="bottom"/>
          </w:tcPr>
          <w:p w14:paraId="0E65E6E6" w14:textId="2E9B0A6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557E3" w:rsidRPr="00367E0C" w14:paraId="49A45B90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72F646" w14:textId="0CEB8C6E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25EA861" w14:textId="43771E78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3,04%</w:t>
            </w:r>
          </w:p>
        </w:tc>
        <w:tc>
          <w:tcPr>
            <w:tcW w:w="1737" w:type="dxa"/>
            <w:noWrap/>
            <w:vAlign w:val="bottom"/>
          </w:tcPr>
          <w:p w14:paraId="146E7FFC" w14:textId="4BD8B883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6,62%</w:t>
            </w:r>
          </w:p>
        </w:tc>
        <w:tc>
          <w:tcPr>
            <w:tcW w:w="1736" w:type="dxa"/>
            <w:noWrap/>
            <w:vAlign w:val="bottom"/>
          </w:tcPr>
          <w:p w14:paraId="6E30ABDA" w14:textId="542B480A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-3,58%</w:t>
            </w:r>
          </w:p>
        </w:tc>
        <w:tc>
          <w:tcPr>
            <w:tcW w:w="1737" w:type="dxa"/>
            <w:noWrap/>
            <w:vAlign w:val="bottom"/>
          </w:tcPr>
          <w:p w14:paraId="5C3DCB12" w14:textId="1B77884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57E3" w:rsidRPr="00367E0C" w14:paraId="29045615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597DFA" w14:textId="53B464DC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2142B16B" w14:textId="4A8E2DE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2,83%</w:t>
            </w:r>
          </w:p>
        </w:tc>
        <w:tc>
          <w:tcPr>
            <w:tcW w:w="1737" w:type="dxa"/>
            <w:noWrap/>
            <w:vAlign w:val="bottom"/>
          </w:tcPr>
          <w:p w14:paraId="169D284C" w14:textId="4B84CD6A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2,85%</w:t>
            </w:r>
          </w:p>
        </w:tc>
        <w:tc>
          <w:tcPr>
            <w:tcW w:w="1736" w:type="dxa"/>
            <w:noWrap/>
            <w:vAlign w:val="bottom"/>
          </w:tcPr>
          <w:p w14:paraId="261F9798" w14:textId="40C94010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25076D99" w14:textId="03AB7684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557E3" w:rsidRPr="00367E0C" w14:paraId="0A849D7B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6732C1" w14:textId="63EE4B1E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012E8C2" w14:textId="47C49B55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2,52%</w:t>
            </w:r>
          </w:p>
        </w:tc>
        <w:tc>
          <w:tcPr>
            <w:tcW w:w="1737" w:type="dxa"/>
            <w:noWrap/>
            <w:vAlign w:val="bottom"/>
          </w:tcPr>
          <w:p w14:paraId="507841BA" w14:textId="5C87F91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307E61F3" w14:textId="676D1405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2,52%</w:t>
            </w:r>
          </w:p>
        </w:tc>
        <w:tc>
          <w:tcPr>
            <w:tcW w:w="1737" w:type="dxa"/>
            <w:noWrap/>
            <w:vAlign w:val="bottom"/>
          </w:tcPr>
          <w:p w14:paraId="7B8077E6" w14:textId="5EA5E406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557E3" w:rsidRPr="00367E0C" w14:paraId="3831343B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9A32F4" w14:textId="1D299CB6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62A1881D" w14:textId="606DC67C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2,41%</w:t>
            </w:r>
          </w:p>
        </w:tc>
        <w:tc>
          <w:tcPr>
            <w:tcW w:w="1737" w:type="dxa"/>
            <w:noWrap/>
            <w:vAlign w:val="bottom"/>
          </w:tcPr>
          <w:p w14:paraId="69EFB9B1" w14:textId="6E64711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3,14%</w:t>
            </w:r>
          </w:p>
        </w:tc>
        <w:tc>
          <w:tcPr>
            <w:tcW w:w="1736" w:type="dxa"/>
            <w:noWrap/>
            <w:vAlign w:val="bottom"/>
          </w:tcPr>
          <w:p w14:paraId="2CB3B07D" w14:textId="1E545F3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-0,73%</w:t>
            </w:r>
          </w:p>
        </w:tc>
        <w:tc>
          <w:tcPr>
            <w:tcW w:w="1737" w:type="dxa"/>
            <w:noWrap/>
            <w:vAlign w:val="bottom"/>
          </w:tcPr>
          <w:p w14:paraId="0486888D" w14:textId="25D5C096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557E3" w:rsidRPr="00367E0C" w14:paraId="02C99447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AD9F50" w14:textId="0857A6F1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69C59EC5" w14:textId="75269EA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1,96%</w:t>
            </w:r>
          </w:p>
        </w:tc>
        <w:tc>
          <w:tcPr>
            <w:tcW w:w="1737" w:type="dxa"/>
            <w:noWrap/>
            <w:vAlign w:val="bottom"/>
          </w:tcPr>
          <w:p w14:paraId="5D68DC2F" w14:textId="65A137E5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3,19%</w:t>
            </w:r>
          </w:p>
        </w:tc>
        <w:tc>
          <w:tcPr>
            <w:tcW w:w="1736" w:type="dxa"/>
            <w:noWrap/>
            <w:vAlign w:val="bottom"/>
          </w:tcPr>
          <w:p w14:paraId="1AD3D124" w14:textId="74EA341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-1,23%</w:t>
            </w:r>
          </w:p>
        </w:tc>
        <w:tc>
          <w:tcPr>
            <w:tcW w:w="1737" w:type="dxa"/>
            <w:noWrap/>
            <w:vAlign w:val="bottom"/>
          </w:tcPr>
          <w:p w14:paraId="4B0B124B" w14:textId="57DE3A44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557E3" w:rsidRPr="00367E0C" w14:paraId="40B79C80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4A10C8" w14:textId="036E14C1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67289D8" w14:textId="311EDF9E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1,43%</w:t>
            </w:r>
          </w:p>
        </w:tc>
        <w:tc>
          <w:tcPr>
            <w:tcW w:w="1737" w:type="dxa"/>
            <w:noWrap/>
            <w:vAlign w:val="bottom"/>
          </w:tcPr>
          <w:p w14:paraId="031F155B" w14:textId="08759063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1,75%</w:t>
            </w:r>
          </w:p>
        </w:tc>
        <w:tc>
          <w:tcPr>
            <w:tcW w:w="1736" w:type="dxa"/>
            <w:noWrap/>
            <w:vAlign w:val="bottom"/>
          </w:tcPr>
          <w:p w14:paraId="5A82EBD8" w14:textId="2130CD3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-0,31%</w:t>
            </w:r>
          </w:p>
        </w:tc>
        <w:tc>
          <w:tcPr>
            <w:tcW w:w="1737" w:type="dxa"/>
            <w:noWrap/>
            <w:vAlign w:val="bottom"/>
          </w:tcPr>
          <w:p w14:paraId="6B9EA89E" w14:textId="683E0AC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557E3" w:rsidRPr="00367E0C" w14:paraId="3071DA6F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FBB1F1" w14:textId="2F31476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8E6436A" w14:textId="108DB1C2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7" w:type="dxa"/>
            <w:noWrap/>
            <w:vAlign w:val="bottom"/>
          </w:tcPr>
          <w:p w14:paraId="34B523AF" w14:textId="26E929C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6" w:type="dxa"/>
            <w:noWrap/>
            <w:vAlign w:val="bottom"/>
          </w:tcPr>
          <w:p w14:paraId="2426B2E3" w14:textId="59F5A4DE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7" w:type="dxa"/>
            <w:noWrap/>
            <w:vAlign w:val="bottom"/>
          </w:tcPr>
          <w:p w14:paraId="7BA97EC9" w14:textId="3FC2BB1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557E3" w:rsidRPr="00367E0C" w14:paraId="0087E77B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D5A014" w14:textId="2C90C836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06AEB3F" w14:textId="495D8B72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0,91%</w:t>
            </w:r>
          </w:p>
        </w:tc>
        <w:tc>
          <w:tcPr>
            <w:tcW w:w="1737" w:type="dxa"/>
            <w:noWrap/>
            <w:vAlign w:val="bottom"/>
          </w:tcPr>
          <w:p w14:paraId="70CF8A67" w14:textId="24BB675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1,07%</w:t>
            </w:r>
          </w:p>
        </w:tc>
        <w:tc>
          <w:tcPr>
            <w:tcW w:w="1736" w:type="dxa"/>
            <w:noWrap/>
            <w:vAlign w:val="bottom"/>
          </w:tcPr>
          <w:p w14:paraId="64FD8C4C" w14:textId="4479112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6DFC3B9D" w14:textId="73950CF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557E3" w:rsidRPr="00367E0C" w14:paraId="10998AD1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C80D75" w14:textId="381F5837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2DB92F0D" w14:textId="258812D2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7" w:type="dxa"/>
            <w:noWrap/>
            <w:vAlign w:val="bottom"/>
          </w:tcPr>
          <w:p w14:paraId="344EDA2B" w14:textId="7046B7C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0,78%</w:t>
            </w:r>
          </w:p>
        </w:tc>
        <w:tc>
          <w:tcPr>
            <w:tcW w:w="1736" w:type="dxa"/>
            <w:noWrap/>
            <w:vAlign w:val="bottom"/>
          </w:tcPr>
          <w:p w14:paraId="5014724C" w14:textId="64058E62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3B719CCF" w14:textId="443422E3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557E3" w:rsidRPr="00367E0C" w14:paraId="55561C2A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6F30B1" w14:textId="1F2B3DC7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DABDC0D" w14:textId="58EDB091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0,87%</w:t>
            </w:r>
          </w:p>
        </w:tc>
        <w:tc>
          <w:tcPr>
            <w:tcW w:w="1737" w:type="dxa"/>
            <w:noWrap/>
            <w:vAlign w:val="bottom"/>
          </w:tcPr>
          <w:p w14:paraId="2525D257" w14:textId="319B8A23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1,09%</w:t>
            </w:r>
          </w:p>
        </w:tc>
        <w:tc>
          <w:tcPr>
            <w:tcW w:w="1736" w:type="dxa"/>
            <w:noWrap/>
            <w:vAlign w:val="bottom"/>
          </w:tcPr>
          <w:p w14:paraId="3703117F" w14:textId="370F23E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0BC31054" w14:textId="5AE21250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557E3" w:rsidRPr="00367E0C" w14:paraId="50A9B687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835331" w14:textId="2DE57163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01B7A22" w14:textId="563BB323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79294370" w14:textId="4B542D31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1,34%</w:t>
            </w:r>
          </w:p>
        </w:tc>
        <w:tc>
          <w:tcPr>
            <w:tcW w:w="1736" w:type="dxa"/>
            <w:noWrap/>
            <w:vAlign w:val="bottom"/>
          </w:tcPr>
          <w:p w14:paraId="3F0D1EC4" w14:textId="775684B8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-0,49%</w:t>
            </w:r>
          </w:p>
        </w:tc>
        <w:tc>
          <w:tcPr>
            <w:tcW w:w="1737" w:type="dxa"/>
            <w:noWrap/>
            <w:vAlign w:val="bottom"/>
          </w:tcPr>
          <w:p w14:paraId="75622170" w14:textId="4D2E717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557E3" w:rsidRPr="00367E0C" w14:paraId="7DD341A8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CC482A" w14:textId="09C3CE5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4CF9350B" w14:textId="37D030A8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0,62%</w:t>
            </w:r>
          </w:p>
        </w:tc>
        <w:tc>
          <w:tcPr>
            <w:tcW w:w="1737" w:type="dxa"/>
            <w:noWrap/>
            <w:vAlign w:val="bottom"/>
          </w:tcPr>
          <w:p w14:paraId="0F74D345" w14:textId="48E76E54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0,71%</w:t>
            </w:r>
          </w:p>
        </w:tc>
        <w:tc>
          <w:tcPr>
            <w:tcW w:w="1736" w:type="dxa"/>
            <w:noWrap/>
            <w:vAlign w:val="bottom"/>
          </w:tcPr>
          <w:p w14:paraId="0FD9C39A" w14:textId="7180696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-0,09%</w:t>
            </w:r>
          </w:p>
        </w:tc>
        <w:tc>
          <w:tcPr>
            <w:tcW w:w="1737" w:type="dxa"/>
            <w:noWrap/>
            <w:vAlign w:val="bottom"/>
          </w:tcPr>
          <w:p w14:paraId="3031B400" w14:textId="66595D6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557E3" w:rsidRPr="00367E0C" w14:paraId="1828E17E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8ACC2F" w14:textId="0D620EEB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63C7EE2E" w14:textId="05E30B91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7" w:type="dxa"/>
            <w:noWrap/>
            <w:vAlign w:val="bottom"/>
          </w:tcPr>
          <w:p w14:paraId="08094304" w14:textId="723F6402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0,65%</w:t>
            </w:r>
          </w:p>
        </w:tc>
        <w:tc>
          <w:tcPr>
            <w:tcW w:w="1736" w:type="dxa"/>
            <w:noWrap/>
            <w:vAlign w:val="bottom"/>
          </w:tcPr>
          <w:p w14:paraId="665C9DEF" w14:textId="04EC929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0A23BD7C" w14:textId="02C194D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557E3" w:rsidRPr="00367E0C" w14:paraId="2EA12D7B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5F4F06" w14:textId="57779CA0" w:rsidR="00D557E3" w:rsidRPr="009420F6" w:rsidRDefault="00D557E3" w:rsidP="00D557E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2A67987C" w14:textId="22C07986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635197E6" w14:textId="4D02DA8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6" w:type="dxa"/>
            <w:noWrap/>
            <w:vAlign w:val="bottom"/>
          </w:tcPr>
          <w:p w14:paraId="4C3D3E00" w14:textId="01864683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648071F8" w14:textId="174BBE6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557E3" w:rsidRPr="00367E0C" w14:paraId="0BF57AD8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5AA138" w14:textId="4FD4FCDE" w:rsidR="00D557E3" w:rsidRPr="009420F6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47E7E3DE" w14:textId="38F5A881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261DA5AD" w14:textId="434E228C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A699225" w14:textId="27902BDA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1F188D67" w14:textId="60EF1F9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557E3" w:rsidRPr="00367E0C" w14:paraId="7BE61165" w14:textId="77777777" w:rsidTr="00D557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765C73" w14:textId="77777777" w:rsidR="00D557E3" w:rsidRPr="009420F6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EC59985" w14:textId="2A72142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D9F52D2" w14:textId="5FC883B8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438EB0D" w14:textId="7777777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69E245F" w14:textId="7777777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6D1B2EF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4365B6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45E8205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8AEEBB5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9955C31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1FE8AB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2A87A619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6E5C04D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70F2C8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C2B253C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E4036A7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7D85ED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78558B7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0FBCE1F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71F4837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6222E5D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8596B18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6E523B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1A76C22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4D3E22C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F985D5E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42BF8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2B9A854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77B910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38DA5D93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904515A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5B1C017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F22F664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533178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19DABF3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7C458ABE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C449124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80E985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58B6C2F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0C20AE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F2868B3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6C27CCF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2E894A3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9ADD32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324B8E7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2D66BEE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6F76699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3CB2A5D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DEE9085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2B1D1A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083FAC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87F591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888A1C4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367E0C" w14:paraId="4B649DF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C91B19B" w14:textId="77777777" w:rsidR="00B2619C" w:rsidRPr="00367E0C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C574220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90B604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CA3A2FA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CB01D66" w14:textId="77777777" w:rsidR="00B2619C" w:rsidRPr="00367E0C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57E3" w:rsidRPr="00367E0C" w14:paraId="22CCDED9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E0C99EA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7479A502" w14:textId="79B7CB52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85,15%</w:t>
            </w:r>
          </w:p>
        </w:tc>
        <w:tc>
          <w:tcPr>
            <w:tcW w:w="1737" w:type="dxa"/>
            <w:noWrap/>
            <w:vAlign w:val="bottom"/>
          </w:tcPr>
          <w:p w14:paraId="79BC396E" w14:textId="1B000685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74,63%</w:t>
            </w:r>
          </w:p>
        </w:tc>
        <w:tc>
          <w:tcPr>
            <w:tcW w:w="1736" w:type="dxa"/>
            <w:noWrap/>
            <w:vAlign w:val="center"/>
          </w:tcPr>
          <w:p w14:paraId="44F42CF8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6DF13F" w14:textId="77777777" w:rsidR="00D557E3" w:rsidRPr="00367E0C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88DDFF5" w14:textId="77777777" w:rsidR="00B2619C" w:rsidRPr="00367E0C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367E0C" w14:paraId="3BCB185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5D58B86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C56857F" w14:textId="08B18908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E4C2F9B" w14:textId="1E6DA267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D557E3" w:rsidRPr="00367E0C" w14:paraId="154BDB9C" w14:textId="77777777" w:rsidTr="004F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9708814" w14:textId="6EFEE55F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6D21715B" w14:textId="31E58EB6" w:rsidR="00D557E3" w:rsidRPr="009420F6" w:rsidRDefault="00D557E3" w:rsidP="00D55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61,40%</w:t>
            </w:r>
          </w:p>
        </w:tc>
        <w:tc>
          <w:tcPr>
            <w:tcW w:w="2977" w:type="dxa"/>
            <w:vAlign w:val="bottom"/>
          </w:tcPr>
          <w:p w14:paraId="3706A745" w14:textId="4EA0AD5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54,42%</w:t>
            </w:r>
          </w:p>
        </w:tc>
      </w:tr>
      <w:tr w:rsidR="00D557E3" w:rsidRPr="00367E0C" w14:paraId="1F39D1A1" w14:textId="77777777" w:rsidTr="004F63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A34A579" w14:textId="3444ACCA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0BCD677" w14:textId="0526B88D" w:rsidR="00D557E3" w:rsidRPr="009420F6" w:rsidRDefault="00D557E3" w:rsidP="00D55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75,28%</w:t>
            </w:r>
          </w:p>
        </w:tc>
        <w:tc>
          <w:tcPr>
            <w:tcW w:w="2977" w:type="dxa"/>
            <w:vAlign w:val="bottom"/>
          </w:tcPr>
          <w:p w14:paraId="177C8653" w14:textId="3982B9D0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72,98%</w:t>
            </w:r>
          </w:p>
        </w:tc>
      </w:tr>
    </w:tbl>
    <w:p w14:paraId="082BDF2A" w14:textId="77777777" w:rsidR="00B2619C" w:rsidRPr="00367E0C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367E0C" w14:paraId="677330E9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61D0149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71C71BBE" w14:textId="61DCEAE3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7E803A23" w14:textId="7670F4AF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18434322" w14:textId="77777777" w:rsidR="000B3154" w:rsidRPr="00367E0C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Variazione</w:t>
            </w:r>
          </w:p>
        </w:tc>
      </w:tr>
      <w:tr w:rsidR="00D557E3" w:rsidRPr="00367E0C" w14:paraId="5BB805AE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9285860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2BD32CC6" w14:textId="36924C4B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1.936.822.645</w:t>
            </w:r>
          </w:p>
        </w:tc>
        <w:tc>
          <w:tcPr>
            <w:tcW w:w="2460" w:type="dxa"/>
            <w:vAlign w:val="bottom"/>
          </w:tcPr>
          <w:p w14:paraId="5F696FDC" w14:textId="2585A6B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2.760.617.971</w:t>
            </w:r>
          </w:p>
        </w:tc>
        <w:tc>
          <w:tcPr>
            <w:tcW w:w="2259" w:type="dxa"/>
            <w:vAlign w:val="bottom"/>
          </w:tcPr>
          <w:p w14:paraId="6AF53325" w14:textId="1359DA01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-29,84%</w:t>
            </w:r>
          </w:p>
        </w:tc>
      </w:tr>
      <w:tr w:rsidR="00D557E3" w:rsidRPr="00367E0C" w14:paraId="25C2DBAF" w14:textId="77777777" w:rsidTr="003727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DBECC23" w14:textId="29DB1508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5BAA3214" w14:textId="790D272F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43.770</w:t>
            </w:r>
          </w:p>
        </w:tc>
        <w:tc>
          <w:tcPr>
            <w:tcW w:w="2460" w:type="dxa"/>
            <w:vAlign w:val="bottom"/>
          </w:tcPr>
          <w:p w14:paraId="2B502187" w14:textId="08A53994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43.428</w:t>
            </w:r>
          </w:p>
        </w:tc>
        <w:tc>
          <w:tcPr>
            <w:tcW w:w="2259" w:type="dxa"/>
            <w:vAlign w:val="bottom"/>
          </w:tcPr>
          <w:p w14:paraId="3C22FFFA" w14:textId="459E8DD9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0,79%</w:t>
            </w:r>
          </w:p>
        </w:tc>
      </w:tr>
      <w:tr w:rsidR="00D557E3" w:rsidRPr="00367E0C" w14:paraId="03D20268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F729573" w14:textId="77777777" w:rsidR="00D557E3" w:rsidRPr="00367E0C" w:rsidRDefault="00D557E3" w:rsidP="00D557E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367E0C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29DC448E" w14:textId="6EB4A8A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44.250</w:t>
            </w:r>
          </w:p>
        </w:tc>
        <w:tc>
          <w:tcPr>
            <w:tcW w:w="2460" w:type="dxa"/>
            <w:vAlign w:val="bottom"/>
          </w:tcPr>
          <w:p w14:paraId="023EC505" w14:textId="23B7F5CD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63.568</w:t>
            </w:r>
          </w:p>
        </w:tc>
        <w:tc>
          <w:tcPr>
            <w:tcW w:w="2259" w:type="dxa"/>
            <w:vAlign w:val="bottom"/>
          </w:tcPr>
          <w:p w14:paraId="3D190498" w14:textId="77777777" w:rsidR="00D557E3" w:rsidRPr="009420F6" w:rsidRDefault="00D557E3" w:rsidP="00D557E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B30954" w14:textId="77777777" w:rsidR="00B2619C" w:rsidRPr="00B2619C" w:rsidRDefault="00B2619C" w:rsidP="00B2619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SEDEX</w:t>
      </w:r>
      <w:r w:rsidR="00BB40C2">
        <w:rPr>
          <w:color w:val="4F81BD" w:themeColor="accent1"/>
        </w:rPr>
        <w:t xml:space="preserve"> </w:t>
      </w:r>
      <w:r w:rsidRPr="00B2619C">
        <w:rPr>
          <w:color w:val="4F81BD" w:themeColor="accent1"/>
        </w:rPr>
        <w:t>- CONTROVALORI TOTALI NEGOZIATI</w:t>
      </w:r>
    </w:p>
    <w:p w14:paraId="3179A22D" w14:textId="77777777" w:rsidR="00B2619C" w:rsidRDefault="00B2619C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E346DA" w14:paraId="28B6368F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24F56D7" w14:textId="77777777" w:rsidR="00A635A4" w:rsidRPr="00E346D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8C33C50" w14:textId="752E0DD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54EDAA78" w14:textId="4252402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3CB19C87" w14:textId="3D78003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F408C7C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B968698" w14:textId="7A5A62B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E346DA" w14:paraId="1BBF1E9C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57CE68" w14:textId="431A454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0967067" w14:textId="61DFD28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17,50%</w:t>
            </w:r>
          </w:p>
        </w:tc>
        <w:tc>
          <w:tcPr>
            <w:tcW w:w="1737" w:type="dxa"/>
            <w:noWrap/>
            <w:vAlign w:val="bottom"/>
          </w:tcPr>
          <w:p w14:paraId="36630CBD" w14:textId="629DB32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14,57%</w:t>
            </w:r>
          </w:p>
        </w:tc>
        <w:tc>
          <w:tcPr>
            <w:tcW w:w="1736" w:type="dxa"/>
            <w:noWrap/>
            <w:vAlign w:val="bottom"/>
          </w:tcPr>
          <w:p w14:paraId="10EC8907" w14:textId="56EDEA8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2,92%</w:t>
            </w:r>
          </w:p>
        </w:tc>
        <w:tc>
          <w:tcPr>
            <w:tcW w:w="1737" w:type="dxa"/>
            <w:noWrap/>
            <w:vAlign w:val="bottom"/>
          </w:tcPr>
          <w:p w14:paraId="5D518744" w14:textId="004A37D3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E346DA" w14:paraId="4502E582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061786" w14:textId="3A4C4EC7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AC122C9" w14:textId="1C76F9D2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12,21%</w:t>
            </w:r>
          </w:p>
        </w:tc>
        <w:tc>
          <w:tcPr>
            <w:tcW w:w="1737" w:type="dxa"/>
            <w:noWrap/>
            <w:vAlign w:val="bottom"/>
          </w:tcPr>
          <w:p w14:paraId="7E6027D9" w14:textId="1B5AA0C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7,96%</w:t>
            </w:r>
          </w:p>
        </w:tc>
        <w:tc>
          <w:tcPr>
            <w:tcW w:w="1736" w:type="dxa"/>
            <w:noWrap/>
            <w:vAlign w:val="bottom"/>
          </w:tcPr>
          <w:p w14:paraId="49E59DD4" w14:textId="7ED650D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4,25%</w:t>
            </w:r>
          </w:p>
        </w:tc>
        <w:tc>
          <w:tcPr>
            <w:tcW w:w="1737" w:type="dxa"/>
            <w:noWrap/>
            <w:vAlign w:val="bottom"/>
          </w:tcPr>
          <w:p w14:paraId="08E49A5F" w14:textId="7EE97AC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E346DA" w14:paraId="4C3F5B1A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2B9282" w14:textId="5E177F80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1A03660" w14:textId="46834AA9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12,02%</w:t>
            </w:r>
          </w:p>
        </w:tc>
        <w:tc>
          <w:tcPr>
            <w:tcW w:w="1737" w:type="dxa"/>
            <w:noWrap/>
            <w:vAlign w:val="bottom"/>
          </w:tcPr>
          <w:p w14:paraId="2A530713" w14:textId="35D40438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9,58%</w:t>
            </w:r>
          </w:p>
        </w:tc>
        <w:tc>
          <w:tcPr>
            <w:tcW w:w="1736" w:type="dxa"/>
            <w:noWrap/>
            <w:vAlign w:val="bottom"/>
          </w:tcPr>
          <w:p w14:paraId="4E4323AA" w14:textId="21B2B57B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2,44%</w:t>
            </w:r>
          </w:p>
        </w:tc>
        <w:tc>
          <w:tcPr>
            <w:tcW w:w="1737" w:type="dxa"/>
            <w:noWrap/>
            <w:vAlign w:val="bottom"/>
          </w:tcPr>
          <w:p w14:paraId="00BC20B4" w14:textId="5FE9010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E346DA" w14:paraId="219C887E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96D9C0" w14:textId="08DA59F8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72C6FDE" w14:textId="3BBA377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9,25%</w:t>
            </w:r>
          </w:p>
        </w:tc>
        <w:tc>
          <w:tcPr>
            <w:tcW w:w="1737" w:type="dxa"/>
            <w:noWrap/>
            <w:vAlign w:val="bottom"/>
          </w:tcPr>
          <w:p w14:paraId="7ECC7EAC" w14:textId="71EDB44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13,65%</w:t>
            </w:r>
          </w:p>
        </w:tc>
        <w:tc>
          <w:tcPr>
            <w:tcW w:w="1736" w:type="dxa"/>
            <w:noWrap/>
            <w:vAlign w:val="bottom"/>
          </w:tcPr>
          <w:p w14:paraId="06248366" w14:textId="472AEE6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-4,40%</w:t>
            </w:r>
          </w:p>
        </w:tc>
        <w:tc>
          <w:tcPr>
            <w:tcW w:w="1737" w:type="dxa"/>
            <w:noWrap/>
            <w:vAlign w:val="bottom"/>
          </w:tcPr>
          <w:p w14:paraId="41D19DB9" w14:textId="5508A5C8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E346DA" w14:paraId="58FC1D2E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2D0BCA" w14:textId="47CCC49E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429F8D6" w14:textId="159FCED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8,60%</w:t>
            </w:r>
          </w:p>
        </w:tc>
        <w:tc>
          <w:tcPr>
            <w:tcW w:w="1737" w:type="dxa"/>
            <w:noWrap/>
            <w:vAlign w:val="bottom"/>
          </w:tcPr>
          <w:p w14:paraId="293BE2EA" w14:textId="2ED002F3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5,75%</w:t>
            </w:r>
          </w:p>
        </w:tc>
        <w:tc>
          <w:tcPr>
            <w:tcW w:w="1736" w:type="dxa"/>
            <w:noWrap/>
            <w:vAlign w:val="bottom"/>
          </w:tcPr>
          <w:p w14:paraId="797CF52F" w14:textId="7D0DF81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2,85%</w:t>
            </w:r>
          </w:p>
        </w:tc>
        <w:tc>
          <w:tcPr>
            <w:tcW w:w="1737" w:type="dxa"/>
            <w:noWrap/>
            <w:vAlign w:val="bottom"/>
          </w:tcPr>
          <w:p w14:paraId="49D70588" w14:textId="1BF4A0EB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E346DA" w14:paraId="612D9942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F84154" w14:textId="12CE2154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00EF28A2" w14:textId="08E151B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7,18%</w:t>
            </w:r>
          </w:p>
        </w:tc>
        <w:tc>
          <w:tcPr>
            <w:tcW w:w="1737" w:type="dxa"/>
            <w:noWrap/>
            <w:vAlign w:val="bottom"/>
          </w:tcPr>
          <w:p w14:paraId="71F67EA7" w14:textId="47085D7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8,19%</w:t>
            </w:r>
          </w:p>
        </w:tc>
        <w:tc>
          <w:tcPr>
            <w:tcW w:w="1736" w:type="dxa"/>
            <w:noWrap/>
            <w:vAlign w:val="bottom"/>
          </w:tcPr>
          <w:p w14:paraId="1865C887" w14:textId="26F5F6A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-1,01%</w:t>
            </w:r>
          </w:p>
        </w:tc>
        <w:tc>
          <w:tcPr>
            <w:tcW w:w="1737" w:type="dxa"/>
            <w:noWrap/>
            <w:vAlign w:val="bottom"/>
          </w:tcPr>
          <w:p w14:paraId="13CAABCD" w14:textId="4504DB8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E346DA" w14:paraId="412BD15E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5D6540" w14:textId="6667C3D4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3020DC8" w14:textId="35D095C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6,73%</w:t>
            </w:r>
          </w:p>
        </w:tc>
        <w:tc>
          <w:tcPr>
            <w:tcW w:w="1737" w:type="dxa"/>
            <w:noWrap/>
            <w:vAlign w:val="bottom"/>
          </w:tcPr>
          <w:p w14:paraId="30D7A113" w14:textId="1E0EAD24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9,76%</w:t>
            </w:r>
          </w:p>
        </w:tc>
        <w:tc>
          <w:tcPr>
            <w:tcW w:w="1736" w:type="dxa"/>
            <w:noWrap/>
            <w:vAlign w:val="bottom"/>
          </w:tcPr>
          <w:p w14:paraId="5B4B33A3" w14:textId="3414FA3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-3,03%</w:t>
            </w:r>
          </w:p>
        </w:tc>
        <w:tc>
          <w:tcPr>
            <w:tcW w:w="1737" w:type="dxa"/>
            <w:noWrap/>
            <w:vAlign w:val="bottom"/>
          </w:tcPr>
          <w:p w14:paraId="6F08D6F8" w14:textId="23D1174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E346DA" w14:paraId="1EF4CB0E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0BE4EE" w14:textId="277606AF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685A59DF" w14:textId="75EB3AE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2,21%</w:t>
            </w:r>
          </w:p>
        </w:tc>
        <w:tc>
          <w:tcPr>
            <w:tcW w:w="1737" w:type="dxa"/>
            <w:noWrap/>
            <w:vAlign w:val="bottom"/>
          </w:tcPr>
          <w:p w14:paraId="6D36B0ED" w14:textId="5C3F3C6E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2,52%</w:t>
            </w:r>
          </w:p>
        </w:tc>
        <w:tc>
          <w:tcPr>
            <w:tcW w:w="1736" w:type="dxa"/>
            <w:noWrap/>
            <w:vAlign w:val="bottom"/>
          </w:tcPr>
          <w:p w14:paraId="662E6A08" w14:textId="00FE2EB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-0,30%</w:t>
            </w:r>
          </w:p>
        </w:tc>
        <w:tc>
          <w:tcPr>
            <w:tcW w:w="1737" w:type="dxa"/>
            <w:noWrap/>
            <w:vAlign w:val="bottom"/>
          </w:tcPr>
          <w:p w14:paraId="1DA6B184" w14:textId="3251F0E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E346DA" w14:paraId="31960023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1E911C" w14:textId="0C939508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FB19B6B" w14:textId="14C8FAF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1,37%</w:t>
            </w:r>
          </w:p>
        </w:tc>
        <w:tc>
          <w:tcPr>
            <w:tcW w:w="1737" w:type="dxa"/>
            <w:noWrap/>
            <w:vAlign w:val="bottom"/>
          </w:tcPr>
          <w:p w14:paraId="7BA40CD8" w14:textId="7D5151A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1,71%</w:t>
            </w:r>
          </w:p>
        </w:tc>
        <w:tc>
          <w:tcPr>
            <w:tcW w:w="1736" w:type="dxa"/>
            <w:noWrap/>
            <w:vAlign w:val="bottom"/>
          </w:tcPr>
          <w:p w14:paraId="5F8DA46A" w14:textId="33B73DEA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-0,34%</w:t>
            </w:r>
          </w:p>
        </w:tc>
        <w:tc>
          <w:tcPr>
            <w:tcW w:w="1737" w:type="dxa"/>
            <w:noWrap/>
            <w:vAlign w:val="bottom"/>
          </w:tcPr>
          <w:p w14:paraId="57E970B7" w14:textId="17CF16F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E346DA" w14:paraId="27D30A90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2900884" w14:textId="7EB1F81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AA3ACEF" w14:textId="0C86B6A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1,11%</w:t>
            </w:r>
          </w:p>
        </w:tc>
        <w:tc>
          <w:tcPr>
            <w:tcW w:w="1737" w:type="dxa"/>
            <w:noWrap/>
            <w:vAlign w:val="bottom"/>
          </w:tcPr>
          <w:p w14:paraId="042E25C5" w14:textId="271A4F6E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1,37%</w:t>
            </w:r>
          </w:p>
        </w:tc>
        <w:tc>
          <w:tcPr>
            <w:tcW w:w="1736" w:type="dxa"/>
            <w:noWrap/>
            <w:vAlign w:val="bottom"/>
          </w:tcPr>
          <w:p w14:paraId="796B9AFA" w14:textId="3766073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-0,26%</w:t>
            </w:r>
          </w:p>
        </w:tc>
        <w:tc>
          <w:tcPr>
            <w:tcW w:w="1737" w:type="dxa"/>
            <w:noWrap/>
            <w:vAlign w:val="bottom"/>
          </w:tcPr>
          <w:p w14:paraId="302573AA" w14:textId="603014D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E346DA" w14:paraId="6F315022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490CED" w14:textId="2F9D1F21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B81DF67" w14:textId="39BFFB59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7" w:type="dxa"/>
            <w:noWrap/>
            <w:vAlign w:val="bottom"/>
          </w:tcPr>
          <w:p w14:paraId="60643D32" w14:textId="151A4E5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6" w:type="dxa"/>
            <w:noWrap/>
            <w:vAlign w:val="bottom"/>
          </w:tcPr>
          <w:p w14:paraId="008C8BA6" w14:textId="2D3B29C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0,54%</w:t>
            </w:r>
          </w:p>
        </w:tc>
        <w:tc>
          <w:tcPr>
            <w:tcW w:w="1737" w:type="dxa"/>
            <w:noWrap/>
            <w:vAlign w:val="bottom"/>
          </w:tcPr>
          <w:p w14:paraId="2AD602AC" w14:textId="51BDB105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E346DA" w14:paraId="3F35378A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DC10EA" w14:textId="753CF9D6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0281BA1A" w14:textId="3F496B9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45CD29CC" w14:textId="7EB192F0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1,07%</w:t>
            </w:r>
          </w:p>
        </w:tc>
        <w:tc>
          <w:tcPr>
            <w:tcW w:w="1736" w:type="dxa"/>
            <w:noWrap/>
            <w:vAlign w:val="bottom"/>
          </w:tcPr>
          <w:p w14:paraId="6AC95359" w14:textId="7D5EF08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-0,58%</w:t>
            </w:r>
          </w:p>
        </w:tc>
        <w:tc>
          <w:tcPr>
            <w:tcW w:w="1737" w:type="dxa"/>
            <w:noWrap/>
            <w:vAlign w:val="bottom"/>
          </w:tcPr>
          <w:p w14:paraId="488F5ED0" w14:textId="3E3E6840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E346DA" w14:paraId="1238DE88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A08B23" w14:textId="7B3226CE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506AE08" w14:textId="4E079895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4C4F4D89" w14:textId="14756DC3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6" w:type="dxa"/>
            <w:noWrap/>
            <w:vAlign w:val="bottom"/>
          </w:tcPr>
          <w:p w14:paraId="195E5870" w14:textId="78009F5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-0,29%</w:t>
            </w:r>
          </w:p>
        </w:tc>
        <w:tc>
          <w:tcPr>
            <w:tcW w:w="1737" w:type="dxa"/>
            <w:noWrap/>
            <w:vAlign w:val="bottom"/>
          </w:tcPr>
          <w:p w14:paraId="53738818" w14:textId="4AECB939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E346DA" w14:paraId="208B5866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BDCAC5" w14:textId="768A8E9B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4E18A65B" w14:textId="3C8DB46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22B2D324" w14:textId="234F13C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415ADD00" w14:textId="2BB5DDB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55DD296F" w14:textId="7B082A1E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E346DA" w14:paraId="4AB7D346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CB0910" w14:textId="0344C347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42773A5" w14:textId="0004305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688C49B2" w14:textId="3BC05B1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68F419D0" w14:textId="5D747DF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778F2CD5" w14:textId="591211C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E346DA" w14:paraId="25634BF1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3113DA" w14:textId="2540C1FB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AD3497E" w14:textId="405E86F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56B7428F" w14:textId="056D525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4F815558" w14:textId="4DFD3A9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2FB3F24D" w14:textId="06BE4C7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E346DA" w14:paraId="29C7DDB3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651977" w14:textId="4D872F64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A8EDDEB" w14:textId="5631ECD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35E46B98" w14:textId="5457C1F4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17007D4A" w14:textId="45B8A34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08D335E9" w14:textId="575CBB6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E346DA" w14:paraId="28CA5FBF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90DC63" w14:textId="1B8D30E3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1763C34B" w14:textId="1299343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6947DB80" w14:textId="1A75850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04BCB3BE" w14:textId="297CAC2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56482543" w14:textId="2EE5AC90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E346DA" w14:paraId="34FD99D0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6C7E525" w14:textId="3C19D9F8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6DAEB692" w14:textId="46CBC7C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629F023D" w14:textId="12BBD81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0925BA1A" w14:textId="4B5E9A9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0761260E" w14:textId="075C71D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4499B" w:rsidRPr="00E346DA" w14:paraId="43558E6D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029948" w14:textId="0087EB53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7EBF1507" w14:textId="795B74B0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3969E64" w14:textId="4498843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6" w:type="dxa"/>
            <w:noWrap/>
            <w:vAlign w:val="bottom"/>
          </w:tcPr>
          <w:p w14:paraId="44471282" w14:textId="2A15162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-0,44%</w:t>
            </w:r>
          </w:p>
        </w:tc>
        <w:tc>
          <w:tcPr>
            <w:tcW w:w="1737" w:type="dxa"/>
            <w:noWrap/>
            <w:vAlign w:val="bottom"/>
          </w:tcPr>
          <w:p w14:paraId="759DD732" w14:textId="05FFF71E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E346DA" w14:paraId="78320EDA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45CFC7" w14:textId="47B7F3AB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4540D983" w14:textId="770BC2A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3E556B9" w14:textId="19388C1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703CD2C4" w14:textId="29622F9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86EA80E" w14:textId="36C844F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4499B" w:rsidRPr="00E346DA" w14:paraId="2145C27A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70C55F" w14:textId="3C0994E9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085090E0" w14:textId="56A293C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15D2A02B" w14:textId="360CDB3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4C574D57" w14:textId="2641B7B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4C3ED387" w14:textId="423214A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4499B" w:rsidRPr="00E346DA" w14:paraId="17D60EE9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429365" w14:textId="164EA8A7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711D51B2" w14:textId="62A8D6A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D408DC" w14:textId="024073A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3D64A8AD" w14:textId="7DA2A2F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59A7DCFF" w14:textId="6352C5E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E346DA" w14:paraId="06315608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06C62E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0ED9BC4" w14:textId="691B5FCB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67D8BDC" w14:textId="2883F359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96B7912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B109503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44091D1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DBE1E64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1A09F9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A186091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3D715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33030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41A6B7EE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CAE79AA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C7E34F7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0C2C923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AB22A6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F5D1977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66A334F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3EB0D2A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64C6B8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4285F1B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D5559D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2425AD4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0F17A42D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346358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AD3D87F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255C74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058793A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D2F6A8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6E144B9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9021CFB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11E795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922B6C3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3C9FF61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756F57B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3F16DC0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BA477D6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F960504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94B2DB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2689D9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58309AB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6873AD82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B0402EF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3F17779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811F1F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193AAA6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067998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E346DA" w14:paraId="2F32D00F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8D446A5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42A6E96E" w14:textId="46940DEE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81,18%</w:t>
            </w:r>
          </w:p>
        </w:tc>
        <w:tc>
          <w:tcPr>
            <w:tcW w:w="1737" w:type="dxa"/>
            <w:noWrap/>
            <w:vAlign w:val="bottom"/>
          </w:tcPr>
          <w:p w14:paraId="1855F15D" w14:textId="38E73B5A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76,91%</w:t>
            </w:r>
          </w:p>
        </w:tc>
        <w:tc>
          <w:tcPr>
            <w:tcW w:w="1736" w:type="dxa"/>
            <w:noWrap/>
            <w:vAlign w:val="center"/>
          </w:tcPr>
          <w:p w14:paraId="34192C71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4CAB29B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B648A91" w14:textId="77777777" w:rsidR="00B2619C" w:rsidRPr="00E346DA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E346DA" w14:paraId="4E493CC5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6B24C293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7C4982CD" w14:textId="7E175328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B2BE6FD" w14:textId="6726DCCE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E346DA" w14:paraId="6228BD21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6AAD28A1" w14:textId="1678987A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0FFCAB3E" w14:textId="2AF2668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59,58%</w:t>
            </w:r>
          </w:p>
        </w:tc>
        <w:tc>
          <w:tcPr>
            <w:tcW w:w="2977" w:type="dxa"/>
            <w:vAlign w:val="bottom"/>
          </w:tcPr>
          <w:p w14:paraId="6B421B93" w14:textId="30540CC8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55,76%</w:t>
            </w:r>
          </w:p>
        </w:tc>
      </w:tr>
      <w:tr w:rsidR="0044499B" w:rsidRPr="00E346DA" w14:paraId="109226FD" w14:textId="77777777" w:rsidTr="003727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FEC7607" w14:textId="1FED951C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3D78B89E" w14:textId="237B0FE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78,18%</w:t>
            </w:r>
          </w:p>
        </w:tc>
        <w:tc>
          <w:tcPr>
            <w:tcW w:w="2977" w:type="dxa"/>
            <w:vAlign w:val="bottom"/>
          </w:tcPr>
          <w:p w14:paraId="5B4F6994" w14:textId="431EC49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75,07%</w:t>
            </w:r>
          </w:p>
        </w:tc>
      </w:tr>
    </w:tbl>
    <w:p w14:paraId="51EE71AE" w14:textId="77777777" w:rsidR="00B2619C" w:rsidRPr="00E346DA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E346DA" w14:paraId="2FCA07E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38BFBC6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C46B36B" w14:textId="5F41030E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F5DFD90" w14:textId="2F33F8FE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3D57A86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Variazione</w:t>
            </w:r>
          </w:p>
        </w:tc>
      </w:tr>
      <w:tr w:rsidR="0044499B" w:rsidRPr="00E346DA" w14:paraId="62AA30C1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49CE1C1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418DB0F5" w14:textId="7B86EA82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20.137.018.503</w:t>
            </w:r>
          </w:p>
        </w:tc>
        <w:tc>
          <w:tcPr>
            <w:tcW w:w="2460" w:type="dxa"/>
            <w:vAlign w:val="bottom"/>
          </w:tcPr>
          <w:p w14:paraId="73CA8CFA" w14:textId="01DF786A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19.203.712.307</w:t>
            </w:r>
          </w:p>
        </w:tc>
        <w:tc>
          <w:tcPr>
            <w:tcW w:w="2259" w:type="dxa"/>
            <w:vAlign w:val="bottom"/>
          </w:tcPr>
          <w:p w14:paraId="3C8F5B31" w14:textId="751B1F4B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4,86%</w:t>
            </w:r>
          </w:p>
        </w:tc>
      </w:tr>
      <w:tr w:rsidR="0044499B" w:rsidRPr="00E346DA" w14:paraId="5B3AD4AB" w14:textId="77777777" w:rsidTr="003727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61D40AB" w14:textId="4522C715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1B46B0D2" w14:textId="2C8C8792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2.516.103</w:t>
            </w:r>
          </w:p>
        </w:tc>
        <w:tc>
          <w:tcPr>
            <w:tcW w:w="2460" w:type="dxa"/>
            <w:vAlign w:val="bottom"/>
          </w:tcPr>
          <w:p w14:paraId="01FA33D2" w14:textId="2639B83E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2.381.586</w:t>
            </w:r>
          </w:p>
        </w:tc>
        <w:tc>
          <w:tcPr>
            <w:tcW w:w="2259" w:type="dxa"/>
            <w:vAlign w:val="bottom"/>
          </w:tcPr>
          <w:p w14:paraId="76A2B65C" w14:textId="0F5DF1F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5,65%</w:t>
            </w:r>
          </w:p>
        </w:tc>
      </w:tr>
      <w:tr w:rsidR="0044499B" w:rsidRPr="00E346DA" w14:paraId="1033C266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AFD8E97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6C543B54" w14:textId="2217BF6F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8.003</w:t>
            </w:r>
          </w:p>
        </w:tc>
        <w:tc>
          <w:tcPr>
            <w:tcW w:w="2460" w:type="dxa"/>
            <w:vAlign w:val="bottom"/>
          </w:tcPr>
          <w:p w14:paraId="7674E4BF" w14:textId="0417DC18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8.063</w:t>
            </w:r>
          </w:p>
        </w:tc>
        <w:tc>
          <w:tcPr>
            <w:tcW w:w="2259" w:type="dxa"/>
            <w:vAlign w:val="bottom"/>
          </w:tcPr>
          <w:p w14:paraId="7D786E7E" w14:textId="77777777" w:rsidR="0044499B" w:rsidRPr="009420F6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CB588D0" w14:textId="77777777" w:rsidR="00B2619C" w:rsidRPr="00B2619C" w:rsidRDefault="00B2619C" w:rsidP="00B2619C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B2619C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ETFPLUS</w:t>
      </w:r>
      <w:r w:rsidR="00BB40C2">
        <w:rPr>
          <w:color w:val="4F81BD" w:themeColor="accent1"/>
        </w:rPr>
        <w:t xml:space="preserve"> </w:t>
      </w:r>
      <w:r w:rsidRPr="00B2619C">
        <w:rPr>
          <w:color w:val="4F81BD" w:themeColor="accent1"/>
        </w:rPr>
        <w:t>- CONTROVALORI TOTALI NEGOZIATI</w:t>
      </w:r>
    </w:p>
    <w:p w14:paraId="4B4E7186" w14:textId="77777777" w:rsidR="00B2619C" w:rsidRDefault="00B2619C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E346DA" w14:paraId="0E0016A1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1B65F2FB" w14:textId="77777777" w:rsidR="00A635A4" w:rsidRPr="00E346D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1273DBC" w14:textId="2E7EC9B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97811C4" w14:textId="21BA1BCE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1E4E5616" w14:textId="7961B7D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5FAE17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B57AFCD" w14:textId="04A85FB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E346DA" w14:paraId="0ED48ECA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70D915" w14:textId="7727177F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6844D61D" w14:textId="31BD58DA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5,14%</w:t>
            </w:r>
          </w:p>
        </w:tc>
        <w:tc>
          <w:tcPr>
            <w:tcW w:w="1737" w:type="dxa"/>
            <w:noWrap/>
            <w:vAlign w:val="bottom"/>
          </w:tcPr>
          <w:p w14:paraId="33D70E6C" w14:textId="48066475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4,55%</w:t>
            </w:r>
          </w:p>
        </w:tc>
        <w:tc>
          <w:tcPr>
            <w:tcW w:w="1736" w:type="dxa"/>
            <w:noWrap/>
            <w:vAlign w:val="bottom"/>
          </w:tcPr>
          <w:p w14:paraId="5C5110B0" w14:textId="3848BE5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7" w:type="dxa"/>
            <w:noWrap/>
            <w:vAlign w:val="bottom"/>
          </w:tcPr>
          <w:p w14:paraId="2CFA0668" w14:textId="59BBB1C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E346DA" w14:paraId="4435FE31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76880B" w14:textId="10A0F246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D4DCB5C" w14:textId="097B1105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2,62%</w:t>
            </w:r>
          </w:p>
        </w:tc>
        <w:tc>
          <w:tcPr>
            <w:tcW w:w="1737" w:type="dxa"/>
            <w:noWrap/>
            <w:vAlign w:val="bottom"/>
          </w:tcPr>
          <w:p w14:paraId="0C7F7F90" w14:textId="5148990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2,11%</w:t>
            </w:r>
          </w:p>
        </w:tc>
        <w:tc>
          <w:tcPr>
            <w:tcW w:w="1736" w:type="dxa"/>
            <w:noWrap/>
            <w:vAlign w:val="bottom"/>
          </w:tcPr>
          <w:p w14:paraId="124D6373" w14:textId="69235B7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3DECE5BB" w14:textId="0C78A75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E346DA" w14:paraId="057F6548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656DAC" w14:textId="0BB99166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C2D5173" w14:textId="690BBE2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2,59%</w:t>
            </w:r>
          </w:p>
        </w:tc>
        <w:tc>
          <w:tcPr>
            <w:tcW w:w="1737" w:type="dxa"/>
            <w:noWrap/>
            <w:vAlign w:val="bottom"/>
          </w:tcPr>
          <w:p w14:paraId="519A8D2E" w14:textId="028A1484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2,66%</w:t>
            </w:r>
          </w:p>
        </w:tc>
        <w:tc>
          <w:tcPr>
            <w:tcW w:w="1736" w:type="dxa"/>
            <w:noWrap/>
            <w:vAlign w:val="bottom"/>
          </w:tcPr>
          <w:p w14:paraId="312706D6" w14:textId="0641D09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413E1383" w14:textId="25EBF305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E346DA" w14:paraId="45778ADB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5D22B9" w14:textId="67D6E03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2709C317" w14:textId="3963C38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2,45%</w:t>
            </w:r>
          </w:p>
        </w:tc>
        <w:tc>
          <w:tcPr>
            <w:tcW w:w="1737" w:type="dxa"/>
            <w:noWrap/>
            <w:vAlign w:val="bottom"/>
          </w:tcPr>
          <w:p w14:paraId="3C8DFF74" w14:textId="43500C3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6,67%</w:t>
            </w:r>
          </w:p>
        </w:tc>
        <w:tc>
          <w:tcPr>
            <w:tcW w:w="1736" w:type="dxa"/>
            <w:noWrap/>
            <w:vAlign w:val="bottom"/>
          </w:tcPr>
          <w:p w14:paraId="2E8DE487" w14:textId="70F1B0C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-4,22%</w:t>
            </w:r>
          </w:p>
        </w:tc>
        <w:tc>
          <w:tcPr>
            <w:tcW w:w="1737" w:type="dxa"/>
            <w:noWrap/>
            <w:vAlign w:val="bottom"/>
          </w:tcPr>
          <w:p w14:paraId="1484CB4A" w14:textId="0318E7B2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E346DA" w14:paraId="5E853578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616DD83" w14:textId="6D7D39C1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063C97ED" w14:textId="781D93C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2,40%</w:t>
            </w:r>
          </w:p>
        </w:tc>
        <w:tc>
          <w:tcPr>
            <w:tcW w:w="1737" w:type="dxa"/>
            <w:noWrap/>
            <w:vAlign w:val="bottom"/>
          </w:tcPr>
          <w:p w14:paraId="5D9D0E73" w14:textId="21BA409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2,56%</w:t>
            </w:r>
          </w:p>
        </w:tc>
        <w:tc>
          <w:tcPr>
            <w:tcW w:w="1736" w:type="dxa"/>
            <w:noWrap/>
            <w:vAlign w:val="bottom"/>
          </w:tcPr>
          <w:p w14:paraId="6D404A2F" w14:textId="014C7C8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-0,16%</w:t>
            </w:r>
          </w:p>
        </w:tc>
        <w:tc>
          <w:tcPr>
            <w:tcW w:w="1737" w:type="dxa"/>
            <w:noWrap/>
            <w:vAlign w:val="bottom"/>
          </w:tcPr>
          <w:p w14:paraId="566AE94E" w14:textId="6E513BA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E346DA" w14:paraId="5E59409D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611828" w14:textId="3D6B3B6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22E88F06" w14:textId="55D1F465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1,79%</w:t>
            </w:r>
          </w:p>
        </w:tc>
        <w:tc>
          <w:tcPr>
            <w:tcW w:w="1737" w:type="dxa"/>
            <w:noWrap/>
            <w:vAlign w:val="bottom"/>
          </w:tcPr>
          <w:p w14:paraId="4EC3A083" w14:textId="72999FB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6" w:type="dxa"/>
            <w:noWrap/>
            <w:vAlign w:val="bottom"/>
          </w:tcPr>
          <w:p w14:paraId="41F1986F" w14:textId="0A90B48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6C71A1CE" w14:textId="6C6972EE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E346DA" w14:paraId="1742AF9A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10ACB7" w14:textId="246B0BE6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7BEAE9E" w14:textId="39B43EB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7" w:type="dxa"/>
            <w:noWrap/>
            <w:vAlign w:val="bottom"/>
          </w:tcPr>
          <w:p w14:paraId="093D977A" w14:textId="52D6A2E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2,48%</w:t>
            </w:r>
          </w:p>
        </w:tc>
        <w:tc>
          <w:tcPr>
            <w:tcW w:w="1736" w:type="dxa"/>
            <w:noWrap/>
            <w:vAlign w:val="bottom"/>
          </w:tcPr>
          <w:p w14:paraId="1AE8E004" w14:textId="0F339EFB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-0,70%</w:t>
            </w:r>
          </w:p>
        </w:tc>
        <w:tc>
          <w:tcPr>
            <w:tcW w:w="1737" w:type="dxa"/>
            <w:noWrap/>
            <w:vAlign w:val="bottom"/>
          </w:tcPr>
          <w:p w14:paraId="72E6B1DF" w14:textId="4A66C5B8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E346DA" w14:paraId="6BDD0442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575686" w14:textId="63BC091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59F39A1" w14:textId="3FB4E09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1,61%</w:t>
            </w:r>
          </w:p>
        </w:tc>
        <w:tc>
          <w:tcPr>
            <w:tcW w:w="1737" w:type="dxa"/>
            <w:noWrap/>
            <w:vAlign w:val="bottom"/>
          </w:tcPr>
          <w:p w14:paraId="5872C581" w14:textId="1918CDA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1,05%</w:t>
            </w:r>
          </w:p>
        </w:tc>
        <w:tc>
          <w:tcPr>
            <w:tcW w:w="1736" w:type="dxa"/>
            <w:noWrap/>
            <w:vAlign w:val="bottom"/>
          </w:tcPr>
          <w:p w14:paraId="460FD4E8" w14:textId="679686D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7" w:type="dxa"/>
            <w:noWrap/>
            <w:vAlign w:val="bottom"/>
          </w:tcPr>
          <w:p w14:paraId="6867A976" w14:textId="14BFB3A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E346DA" w14:paraId="2E9914C9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8F94380" w14:textId="195C0DCC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D9F5227" w14:textId="7B8A15C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1,23%</w:t>
            </w:r>
          </w:p>
        </w:tc>
        <w:tc>
          <w:tcPr>
            <w:tcW w:w="1737" w:type="dxa"/>
            <w:noWrap/>
            <w:vAlign w:val="bottom"/>
          </w:tcPr>
          <w:p w14:paraId="541F750A" w14:textId="7B73AA1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6" w:type="dxa"/>
            <w:noWrap/>
            <w:vAlign w:val="bottom"/>
          </w:tcPr>
          <w:p w14:paraId="55D9D66D" w14:textId="1F5068C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0,72%</w:t>
            </w:r>
          </w:p>
        </w:tc>
        <w:tc>
          <w:tcPr>
            <w:tcW w:w="1737" w:type="dxa"/>
            <w:noWrap/>
            <w:vAlign w:val="bottom"/>
          </w:tcPr>
          <w:p w14:paraId="2103EC9D" w14:textId="6ACF837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E346DA" w14:paraId="33DBC971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BF1D04" w14:textId="35F32D6B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BC8EC8E" w14:textId="4D223CE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7" w:type="dxa"/>
            <w:noWrap/>
            <w:vAlign w:val="bottom"/>
          </w:tcPr>
          <w:p w14:paraId="4627F614" w14:textId="358784B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0,94%</w:t>
            </w:r>
          </w:p>
        </w:tc>
        <w:tc>
          <w:tcPr>
            <w:tcW w:w="1736" w:type="dxa"/>
            <w:noWrap/>
            <w:vAlign w:val="bottom"/>
          </w:tcPr>
          <w:p w14:paraId="061825BA" w14:textId="2AFB6B0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676BF67B" w14:textId="0A45996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E346DA" w14:paraId="0AF9D32F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CBB817" w14:textId="2B1ABE30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F61FB22" w14:textId="3BFF130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1,02%</w:t>
            </w:r>
          </w:p>
        </w:tc>
        <w:tc>
          <w:tcPr>
            <w:tcW w:w="1737" w:type="dxa"/>
            <w:noWrap/>
            <w:vAlign w:val="bottom"/>
          </w:tcPr>
          <w:p w14:paraId="7CEC2AB4" w14:textId="4388BF7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6" w:type="dxa"/>
            <w:noWrap/>
            <w:vAlign w:val="bottom"/>
          </w:tcPr>
          <w:p w14:paraId="0B2F360D" w14:textId="70270C1A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2D395189" w14:textId="25083EA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E346DA" w14:paraId="3114BEFA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276075" w14:textId="48585439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AAC2CB0" w14:textId="7FA3FA7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0,99%</w:t>
            </w:r>
          </w:p>
        </w:tc>
        <w:tc>
          <w:tcPr>
            <w:tcW w:w="1737" w:type="dxa"/>
            <w:noWrap/>
            <w:vAlign w:val="bottom"/>
          </w:tcPr>
          <w:p w14:paraId="1A3B4105" w14:textId="50CC159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1,47%</w:t>
            </w:r>
          </w:p>
        </w:tc>
        <w:tc>
          <w:tcPr>
            <w:tcW w:w="1736" w:type="dxa"/>
            <w:noWrap/>
            <w:vAlign w:val="bottom"/>
          </w:tcPr>
          <w:p w14:paraId="6E3A1190" w14:textId="40665AB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-0,48%</w:t>
            </w:r>
          </w:p>
        </w:tc>
        <w:tc>
          <w:tcPr>
            <w:tcW w:w="1737" w:type="dxa"/>
            <w:noWrap/>
            <w:vAlign w:val="bottom"/>
          </w:tcPr>
          <w:p w14:paraId="44C0BCB8" w14:textId="31B3E6A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E346DA" w14:paraId="16A42E2F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EF5863" w14:textId="5DA4F813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101E8018" w14:textId="1CCDD575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0,91%</w:t>
            </w:r>
          </w:p>
        </w:tc>
        <w:tc>
          <w:tcPr>
            <w:tcW w:w="1737" w:type="dxa"/>
            <w:noWrap/>
            <w:vAlign w:val="bottom"/>
          </w:tcPr>
          <w:p w14:paraId="7D24E00C" w14:textId="1F82BA34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1,29%</w:t>
            </w:r>
          </w:p>
        </w:tc>
        <w:tc>
          <w:tcPr>
            <w:tcW w:w="1736" w:type="dxa"/>
            <w:noWrap/>
            <w:vAlign w:val="bottom"/>
          </w:tcPr>
          <w:p w14:paraId="0AB42991" w14:textId="752E286A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-0,38%</w:t>
            </w:r>
          </w:p>
        </w:tc>
        <w:tc>
          <w:tcPr>
            <w:tcW w:w="1737" w:type="dxa"/>
            <w:noWrap/>
            <w:vAlign w:val="bottom"/>
          </w:tcPr>
          <w:p w14:paraId="3CAB673C" w14:textId="06D16E4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E346DA" w14:paraId="19901000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8C7C32" w14:textId="2B8193A8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F8549B4" w14:textId="250A6E66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2769596E" w14:textId="1C39F4C8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0F989F0A" w14:textId="76705932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6D1A0072" w14:textId="4F1ACA60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E346DA" w14:paraId="50773917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C289C5" w14:textId="51D29E6A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02C2621" w14:textId="181424A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28BF987B" w14:textId="57CF9DF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1,09%</w:t>
            </w:r>
          </w:p>
        </w:tc>
        <w:tc>
          <w:tcPr>
            <w:tcW w:w="1736" w:type="dxa"/>
            <w:noWrap/>
            <w:vAlign w:val="bottom"/>
          </w:tcPr>
          <w:p w14:paraId="59496E04" w14:textId="52ED0C5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-0,42%</w:t>
            </w:r>
          </w:p>
        </w:tc>
        <w:tc>
          <w:tcPr>
            <w:tcW w:w="1737" w:type="dxa"/>
            <w:noWrap/>
            <w:vAlign w:val="bottom"/>
          </w:tcPr>
          <w:p w14:paraId="710E664B" w14:textId="6B00259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E346DA" w14:paraId="11767686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D60C4A" w14:textId="7FB03CCB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6A219B3" w14:textId="271937A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7" w:type="dxa"/>
            <w:noWrap/>
            <w:vAlign w:val="bottom"/>
          </w:tcPr>
          <w:p w14:paraId="63C09EF3" w14:textId="0D78B78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0,54%</w:t>
            </w:r>
          </w:p>
        </w:tc>
        <w:tc>
          <w:tcPr>
            <w:tcW w:w="1736" w:type="dxa"/>
            <w:noWrap/>
            <w:vAlign w:val="bottom"/>
          </w:tcPr>
          <w:p w14:paraId="6F9EAF95" w14:textId="6B2619F9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35C2E921" w14:textId="2FBF546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E346DA" w14:paraId="345D58B0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ADBCDD" w14:textId="5A16B3E3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C331705" w14:textId="33FFE096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7" w:type="dxa"/>
            <w:noWrap/>
            <w:vAlign w:val="bottom"/>
          </w:tcPr>
          <w:p w14:paraId="1F06DF27" w14:textId="7A579B2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6" w:type="dxa"/>
            <w:noWrap/>
            <w:vAlign w:val="bottom"/>
          </w:tcPr>
          <w:p w14:paraId="65ABA7D1" w14:textId="0DE81E0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0551F62A" w14:textId="1CD3E98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4499B" w:rsidRPr="00E346DA" w14:paraId="1D28085C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2030F3" w14:textId="08B1A4E0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7A02D262" w14:textId="220EE2E5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7" w:type="dxa"/>
            <w:noWrap/>
            <w:vAlign w:val="bottom"/>
          </w:tcPr>
          <w:p w14:paraId="594E0065" w14:textId="3023238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0,69%</w:t>
            </w:r>
          </w:p>
        </w:tc>
        <w:tc>
          <w:tcPr>
            <w:tcW w:w="1736" w:type="dxa"/>
            <w:noWrap/>
            <w:vAlign w:val="bottom"/>
          </w:tcPr>
          <w:p w14:paraId="20721A34" w14:textId="4F172F63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54640BDD" w14:textId="4781C30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E346DA" w14:paraId="75C8CDE5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D57A8E" w14:textId="5823CA1E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4FCB57DA" w14:textId="700DD449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46F61DDC" w14:textId="5D95EA3B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6" w:type="dxa"/>
            <w:noWrap/>
            <w:vAlign w:val="bottom"/>
          </w:tcPr>
          <w:p w14:paraId="6AE46EB1" w14:textId="5B47C10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-0,44%</w:t>
            </w:r>
          </w:p>
        </w:tc>
        <w:tc>
          <w:tcPr>
            <w:tcW w:w="1737" w:type="dxa"/>
            <w:noWrap/>
            <w:vAlign w:val="bottom"/>
          </w:tcPr>
          <w:p w14:paraId="58775A1C" w14:textId="6AC63E4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E346DA" w14:paraId="5CD2B5F7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8FAF58" w14:textId="525118B7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2A46A534" w14:textId="0C2E115B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733C7462" w14:textId="5E5C809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7149D227" w14:textId="1DBED57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38101A6E" w14:textId="3D10D6B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4499B" w:rsidRPr="00E346DA" w14:paraId="3AF57681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9BB3ED" w14:textId="4A099D5E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625253DA" w14:textId="6DE7012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0B67BA59" w14:textId="5224257C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6" w:type="dxa"/>
            <w:noWrap/>
            <w:vAlign w:val="bottom"/>
          </w:tcPr>
          <w:p w14:paraId="2564AE3E" w14:textId="4FBEEAA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-0,21%</w:t>
            </w:r>
          </w:p>
        </w:tc>
        <w:tc>
          <w:tcPr>
            <w:tcW w:w="1737" w:type="dxa"/>
            <w:noWrap/>
            <w:vAlign w:val="bottom"/>
          </w:tcPr>
          <w:p w14:paraId="227D460F" w14:textId="6A3DC683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E346DA" w14:paraId="7E4F8C13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D01085" w14:textId="5EF57D5C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A16C077" w14:textId="0AD7103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7" w:type="dxa"/>
            <w:noWrap/>
            <w:vAlign w:val="bottom"/>
          </w:tcPr>
          <w:p w14:paraId="65E282B3" w14:textId="77969128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3DBCF554" w14:textId="664B90A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151C6B5D" w14:textId="7BFA6BC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4499B" w:rsidRPr="00E346DA" w14:paraId="2E7B5C65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BDA512" w14:textId="51069CB2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22727A3C" w14:textId="05B6310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1CC80958" w14:textId="3982D31F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6" w:type="dxa"/>
            <w:noWrap/>
            <w:vAlign w:val="bottom"/>
          </w:tcPr>
          <w:p w14:paraId="411B3BA0" w14:textId="6AEA2B58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-0,16%</w:t>
            </w:r>
          </w:p>
        </w:tc>
        <w:tc>
          <w:tcPr>
            <w:tcW w:w="1737" w:type="dxa"/>
            <w:noWrap/>
            <w:vAlign w:val="bottom"/>
          </w:tcPr>
          <w:p w14:paraId="4CCB4DFA" w14:textId="348DBC1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E346DA" w14:paraId="04CA103D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9449BC" w14:textId="3C749DA3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4CDD903B" w14:textId="60D0384D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6AF30697" w14:textId="2F0CC3C1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0850C2EC" w14:textId="17BE9E87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1D529926" w14:textId="06D46B9A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4499B" w:rsidRPr="00E346DA" w14:paraId="050EE689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DDA7EF" w14:textId="1E309C29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1080695F" w14:textId="49E380A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29572A6B" w14:textId="37CA48A7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6" w:type="dxa"/>
            <w:noWrap/>
            <w:vAlign w:val="bottom"/>
          </w:tcPr>
          <w:p w14:paraId="10031A99" w14:textId="6651EFEE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62201D3F" w14:textId="706E5F51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44499B" w:rsidRPr="00E346DA" w14:paraId="09908605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7AED7C8" w14:textId="554B88CE" w:rsidR="0044499B" w:rsidRPr="009420F6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7998EE77" w14:textId="4DCC33B5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7B015120" w14:textId="2DE87DA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7C92293D" w14:textId="4B29FDE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E4509AA" w14:textId="24FF9A7C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44499B" w:rsidRPr="00E346DA" w14:paraId="0E5118E3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721755" w14:textId="3D9A51AA" w:rsidR="0044499B" w:rsidRPr="009420F6" w:rsidRDefault="0044499B" w:rsidP="0044499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BF5BD1F" w14:textId="276CEC5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D650C4E" w14:textId="6CA595B3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895CF18" w14:textId="56909AE4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636C5DA" w14:textId="5AB11572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480B" w:rsidRPr="00E346DA" w14:paraId="33F3D8C7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346407" w14:textId="61CCCC98" w:rsidR="006A480B" w:rsidRPr="009420F6" w:rsidRDefault="006A480B" w:rsidP="006A480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CEE36C8" w14:textId="3C81FCD2" w:rsidR="006A480B" w:rsidRPr="009420F6" w:rsidRDefault="006A480B" w:rsidP="006A480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9B8997C" w14:textId="186D8487" w:rsidR="006A480B" w:rsidRPr="009420F6" w:rsidRDefault="006A480B" w:rsidP="006A480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9E4E339" w14:textId="610859E5" w:rsidR="006A480B" w:rsidRPr="009420F6" w:rsidRDefault="006A480B" w:rsidP="006A480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CEDA586" w14:textId="643BB129" w:rsidR="006A480B" w:rsidRPr="009420F6" w:rsidRDefault="006A480B" w:rsidP="006A480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72706" w:rsidRPr="00E346DA" w14:paraId="3B0D5E55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D00EA1" w14:textId="77777777" w:rsidR="00372706" w:rsidRPr="00E346DA" w:rsidRDefault="00372706" w:rsidP="00372706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4CE0324" w14:textId="2AA38248" w:rsidR="00372706" w:rsidRPr="00E346DA" w:rsidRDefault="00372706" w:rsidP="0037270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E5B4EF3" w14:textId="76620D42" w:rsidR="00372706" w:rsidRPr="00E346DA" w:rsidRDefault="00372706" w:rsidP="0037270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FF09611" w14:textId="77777777" w:rsidR="00372706" w:rsidRPr="00E346DA" w:rsidRDefault="00372706" w:rsidP="0037270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BBA098E" w14:textId="77777777" w:rsidR="00372706" w:rsidRPr="00E346DA" w:rsidRDefault="00372706" w:rsidP="00372706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793A883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AE8C33E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96C544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91A8DD5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ABFECD6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FED9A05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2619C" w:rsidRPr="00E346DA" w14:paraId="6490A48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58843A7" w14:textId="77777777" w:rsidR="00B2619C" w:rsidRPr="00E346DA" w:rsidRDefault="00B2619C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79834CF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2ECC8E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6A37E0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8EE99D7" w14:textId="77777777" w:rsidR="00B2619C" w:rsidRPr="00E346DA" w:rsidRDefault="00B2619C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E346DA" w14:paraId="36B9F0F0" w14:textId="77777777" w:rsidTr="003727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C0567BA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6690E62" w14:textId="36FFA13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30,46%</w:t>
            </w:r>
          </w:p>
        </w:tc>
        <w:tc>
          <w:tcPr>
            <w:tcW w:w="1737" w:type="dxa"/>
            <w:noWrap/>
            <w:vAlign w:val="bottom"/>
          </w:tcPr>
          <w:p w14:paraId="575987D6" w14:textId="07D7879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33,73%</w:t>
            </w:r>
          </w:p>
        </w:tc>
        <w:tc>
          <w:tcPr>
            <w:tcW w:w="1736" w:type="dxa"/>
            <w:noWrap/>
            <w:vAlign w:val="center"/>
          </w:tcPr>
          <w:p w14:paraId="20BD0C76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F93DE0A" w14:textId="77777777" w:rsidR="0044499B" w:rsidRPr="00E346DA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65CEFB9" w14:textId="77777777" w:rsidR="00B2619C" w:rsidRPr="00E346DA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E346DA" w14:paraId="1EE9A04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06653918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744BF9A0" w14:textId="4FD947DB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21B459E6" w14:textId="556C807C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E346DA" w14:paraId="36A2CDE6" w14:textId="77777777" w:rsidTr="006A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3B58CF9" w14:textId="5332E85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66EDD823" w14:textId="4F08E320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15,20%</w:t>
            </w:r>
          </w:p>
        </w:tc>
        <w:tc>
          <w:tcPr>
            <w:tcW w:w="2977" w:type="dxa"/>
            <w:vAlign w:val="bottom"/>
          </w:tcPr>
          <w:p w14:paraId="4D89B2F2" w14:textId="22FE1EDD" w:rsidR="0044499B" w:rsidRPr="009420F6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18,93%</w:t>
            </w:r>
          </w:p>
        </w:tc>
      </w:tr>
      <w:tr w:rsidR="0044499B" w:rsidRPr="00E346DA" w14:paraId="49BD0686" w14:textId="77777777" w:rsidTr="006A480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EC1BE2F" w14:textId="047222DA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9A9CB72" w14:textId="09F2CEC4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22,68%</w:t>
            </w:r>
          </w:p>
        </w:tc>
        <w:tc>
          <w:tcPr>
            <w:tcW w:w="2977" w:type="dxa"/>
            <w:vAlign w:val="bottom"/>
          </w:tcPr>
          <w:p w14:paraId="51EE9AFF" w14:textId="42F2FDCF" w:rsidR="0044499B" w:rsidRPr="009420F6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26,67%</w:t>
            </w:r>
          </w:p>
        </w:tc>
      </w:tr>
    </w:tbl>
    <w:p w14:paraId="73B00D01" w14:textId="77777777" w:rsidR="00B2619C" w:rsidRPr="00E346DA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E346DA" w14:paraId="6C5A3EB3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3EFE6C2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65748301" w14:textId="5874D663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41D2B819" w14:textId="7010C7F4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4BED5ECA" w14:textId="77777777" w:rsidR="000B3154" w:rsidRPr="00E346DA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Variazione</w:t>
            </w:r>
          </w:p>
        </w:tc>
      </w:tr>
      <w:tr w:rsidR="0044499B" w:rsidRPr="00E346DA" w14:paraId="660D7A1D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D2458A1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Controvalori totali</w:t>
            </w:r>
          </w:p>
        </w:tc>
        <w:tc>
          <w:tcPr>
            <w:tcW w:w="2192" w:type="dxa"/>
            <w:vAlign w:val="bottom"/>
          </w:tcPr>
          <w:p w14:paraId="5668FF37" w14:textId="31E39FE1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119.699.774.347</w:t>
            </w:r>
          </w:p>
        </w:tc>
        <w:tc>
          <w:tcPr>
            <w:tcW w:w="2460" w:type="dxa"/>
            <w:vAlign w:val="bottom"/>
          </w:tcPr>
          <w:p w14:paraId="1513BBF2" w14:textId="0479558E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103.622.644.998</w:t>
            </w:r>
          </w:p>
        </w:tc>
        <w:tc>
          <w:tcPr>
            <w:tcW w:w="2259" w:type="dxa"/>
            <w:vAlign w:val="bottom"/>
          </w:tcPr>
          <w:p w14:paraId="311DFA06" w14:textId="3DD3E1C2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15,52%</w:t>
            </w:r>
          </w:p>
        </w:tc>
      </w:tr>
      <w:tr w:rsidR="0044499B" w:rsidRPr="00E346DA" w14:paraId="1C20707B" w14:textId="77777777" w:rsidTr="003727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E12A4BF" w14:textId="05F6AF5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1C46F0AE" w14:textId="048899A9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5.041.768</w:t>
            </w:r>
          </w:p>
        </w:tc>
        <w:tc>
          <w:tcPr>
            <w:tcW w:w="2460" w:type="dxa"/>
            <w:vAlign w:val="bottom"/>
          </w:tcPr>
          <w:p w14:paraId="688C0D03" w14:textId="077B9521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4.888.220</w:t>
            </w:r>
          </w:p>
        </w:tc>
        <w:tc>
          <w:tcPr>
            <w:tcW w:w="2259" w:type="dxa"/>
            <w:vAlign w:val="bottom"/>
          </w:tcPr>
          <w:p w14:paraId="5FDC2912" w14:textId="2B14D753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3,14%</w:t>
            </w:r>
          </w:p>
        </w:tc>
      </w:tr>
      <w:tr w:rsidR="0044499B" w:rsidRPr="00E346DA" w14:paraId="06CB04EF" w14:textId="77777777" w:rsidTr="0037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387E977" w14:textId="77777777" w:rsidR="0044499B" w:rsidRPr="00E346DA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Taglio medio</w:t>
            </w:r>
          </w:p>
        </w:tc>
        <w:tc>
          <w:tcPr>
            <w:tcW w:w="2192" w:type="dxa"/>
            <w:vAlign w:val="bottom"/>
          </w:tcPr>
          <w:p w14:paraId="30143859" w14:textId="599557CE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23.742</w:t>
            </w:r>
          </w:p>
        </w:tc>
        <w:tc>
          <w:tcPr>
            <w:tcW w:w="2460" w:type="dxa"/>
            <w:vAlign w:val="bottom"/>
          </w:tcPr>
          <w:p w14:paraId="12C27811" w14:textId="51564CB5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21.198</w:t>
            </w:r>
          </w:p>
        </w:tc>
        <w:tc>
          <w:tcPr>
            <w:tcW w:w="2259" w:type="dxa"/>
            <w:vAlign w:val="bottom"/>
          </w:tcPr>
          <w:p w14:paraId="4984CD76" w14:textId="77777777" w:rsidR="0044499B" w:rsidRPr="00D4401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588E8DE" w14:textId="77777777" w:rsidR="00706B99" w:rsidRPr="00B2004F" w:rsidRDefault="00706B99" w:rsidP="00706B99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FUTURES SU INDICE </w:t>
      </w:r>
      <w:r w:rsidR="00BB40C2">
        <w:rPr>
          <w:color w:val="4F81BD" w:themeColor="accent1"/>
        </w:rPr>
        <w:t xml:space="preserve">- </w:t>
      </w:r>
      <w:r>
        <w:rPr>
          <w:color w:val="4F81BD" w:themeColor="accent1"/>
        </w:rPr>
        <w:t xml:space="preserve">CONTRATTI TOTALI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</w:t>
      </w:r>
    </w:p>
    <w:p w14:paraId="605A4E49" w14:textId="77777777" w:rsidR="00B2619C" w:rsidRDefault="00B2619C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C94C6D" w14:paraId="39004AB4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37A24DC" w14:textId="77777777" w:rsidR="00A635A4" w:rsidRPr="00C94C6D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FE4B355" w14:textId="210E5C8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3C0B28D" w14:textId="0387CF1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128E89A4" w14:textId="68E4563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EF34180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5F59275" w14:textId="7524800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C94C6D" w14:paraId="261514C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3EA334" w14:textId="64F1BC65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0D07EB3E" w14:textId="28D55412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4,39%</w:t>
            </w:r>
          </w:p>
        </w:tc>
        <w:tc>
          <w:tcPr>
            <w:tcW w:w="1737" w:type="dxa"/>
            <w:noWrap/>
            <w:vAlign w:val="bottom"/>
          </w:tcPr>
          <w:p w14:paraId="03D86BD7" w14:textId="1B07072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4,16%</w:t>
            </w:r>
          </w:p>
        </w:tc>
        <w:tc>
          <w:tcPr>
            <w:tcW w:w="1736" w:type="dxa"/>
            <w:noWrap/>
            <w:vAlign w:val="bottom"/>
          </w:tcPr>
          <w:p w14:paraId="20ADC111" w14:textId="77AA9AD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44D4783A" w14:textId="6702257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C94C6D" w14:paraId="00FBE3E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C9CEC3" w14:textId="5864CCB4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060DCD7C" w14:textId="2E0DFA3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3,22%</w:t>
            </w:r>
          </w:p>
        </w:tc>
        <w:tc>
          <w:tcPr>
            <w:tcW w:w="1737" w:type="dxa"/>
            <w:noWrap/>
            <w:vAlign w:val="bottom"/>
          </w:tcPr>
          <w:p w14:paraId="5A90BBD4" w14:textId="6946091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3,80%</w:t>
            </w:r>
          </w:p>
        </w:tc>
        <w:tc>
          <w:tcPr>
            <w:tcW w:w="1736" w:type="dxa"/>
            <w:noWrap/>
            <w:vAlign w:val="bottom"/>
          </w:tcPr>
          <w:p w14:paraId="7D828D2D" w14:textId="3ED7BF2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-0,58%</w:t>
            </w:r>
          </w:p>
        </w:tc>
        <w:tc>
          <w:tcPr>
            <w:tcW w:w="1737" w:type="dxa"/>
            <w:noWrap/>
            <w:vAlign w:val="bottom"/>
          </w:tcPr>
          <w:p w14:paraId="146EFD66" w14:textId="75CC0D8E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C94C6D" w14:paraId="76DBB66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6226EC" w14:textId="3031061C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027C1311" w14:textId="63C42E0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2,45%</w:t>
            </w:r>
          </w:p>
        </w:tc>
        <w:tc>
          <w:tcPr>
            <w:tcW w:w="1737" w:type="dxa"/>
            <w:noWrap/>
            <w:vAlign w:val="bottom"/>
          </w:tcPr>
          <w:p w14:paraId="6CF41E42" w14:textId="78266B73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2,19%</w:t>
            </w:r>
          </w:p>
        </w:tc>
        <w:tc>
          <w:tcPr>
            <w:tcW w:w="1736" w:type="dxa"/>
            <w:noWrap/>
            <w:vAlign w:val="bottom"/>
          </w:tcPr>
          <w:p w14:paraId="6C39B4D3" w14:textId="74F521B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7CDAF451" w14:textId="7B1B954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C94C6D" w14:paraId="1683CDD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F11AFA" w14:textId="6C3B250D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6DA4E460" w14:textId="34095697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2,18%</w:t>
            </w:r>
          </w:p>
        </w:tc>
        <w:tc>
          <w:tcPr>
            <w:tcW w:w="1737" w:type="dxa"/>
            <w:noWrap/>
            <w:vAlign w:val="bottom"/>
          </w:tcPr>
          <w:p w14:paraId="69DA24DE" w14:textId="654BA3D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2,43%</w:t>
            </w:r>
          </w:p>
        </w:tc>
        <w:tc>
          <w:tcPr>
            <w:tcW w:w="1736" w:type="dxa"/>
            <w:noWrap/>
            <w:vAlign w:val="bottom"/>
          </w:tcPr>
          <w:p w14:paraId="70C54B5C" w14:textId="21DA3A4A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-0,25%</w:t>
            </w:r>
          </w:p>
        </w:tc>
        <w:tc>
          <w:tcPr>
            <w:tcW w:w="1737" w:type="dxa"/>
            <w:noWrap/>
            <w:vAlign w:val="bottom"/>
          </w:tcPr>
          <w:p w14:paraId="5BE90C25" w14:textId="4BFAFD07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C94C6D" w14:paraId="7BC1825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7DA31A" w14:textId="76C9CEB4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3E6F409" w14:textId="370BD57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2,03%</w:t>
            </w:r>
          </w:p>
        </w:tc>
        <w:tc>
          <w:tcPr>
            <w:tcW w:w="1737" w:type="dxa"/>
            <w:noWrap/>
            <w:vAlign w:val="bottom"/>
          </w:tcPr>
          <w:p w14:paraId="0E2CE413" w14:textId="5C0801E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2,06%</w:t>
            </w:r>
          </w:p>
        </w:tc>
        <w:tc>
          <w:tcPr>
            <w:tcW w:w="1736" w:type="dxa"/>
            <w:noWrap/>
            <w:vAlign w:val="bottom"/>
          </w:tcPr>
          <w:p w14:paraId="6B366878" w14:textId="3A3CE69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2152ACF2" w14:textId="4D65E346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C94C6D" w14:paraId="47E45AA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B37B22" w14:textId="58CCE0C6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587B4AD" w14:textId="46D7FEC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1,73%</w:t>
            </w:r>
          </w:p>
        </w:tc>
        <w:tc>
          <w:tcPr>
            <w:tcW w:w="1737" w:type="dxa"/>
            <w:noWrap/>
            <w:vAlign w:val="bottom"/>
          </w:tcPr>
          <w:p w14:paraId="422B04D9" w14:textId="67569D0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2,42%</w:t>
            </w:r>
          </w:p>
        </w:tc>
        <w:tc>
          <w:tcPr>
            <w:tcW w:w="1736" w:type="dxa"/>
            <w:noWrap/>
            <w:vAlign w:val="bottom"/>
          </w:tcPr>
          <w:p w14:paraId="0765D4EC" w14:textId="00D38D0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-0,69%</w:t>
            </w:r>
          </w:p>
        </w:tc>
        <w:tc>
          <w:tcPr>
            <w:tcW w:w="1737" w:type="dxa"/>
            <w:noWrap/>
            <w:vAlign w:val="bottom"/>
          </w:tcPr>
          <w:p w14:paraId="68A61E46" w14:textId="4ED6442C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C94C6D" w14:paraId="6B84508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E761F0B" w14:textId="0D0224C7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3491BE31" w14:textId="2649AE9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1,65%</w:t>
            </w:r>
          </w:p>
        </w:tc>
        <w:tc>
          <w:tcPr>
            <w:tcW w:w="1737" w:type="dxa"/>
            <w:noWrap/>
            <w:vAlign w:val="bottom"/>
          </w:tcPr>
          <w:p w14:paraId="563A256E" w14:textId="73BC084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6" w:type="dxa"/>
            <w:noWrap/>
            <w:vAlign w:val="bottom"/>
          </w:tcPr>
          <w:p w14:paraId="0FBADFAE" w14:textId="0F96B72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0F23CD36" w14:textId="23FD3CE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C94C6D" w14:paraId="72FDC83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1248EC" w14:textId="4515DBFB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E846592" w14:textId="72A50E43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1,46%</w:t>
            </w:r>
          </w:p>
        </w:tc>
        <w:tc>
          <w:tcPr>
            <w:tcW w:w="1737" w:type="dxa"/>
            <w:noWrap/>
            <w:vAlign w:val="bottom"/>
          </w:tcPr>
          <w:p w14:paraId="283951BB" w14:textId="412117A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1,05%</w:t>
            </w:r>
          </w:p>
        </w:tc>
        <w:tc>
          <w:tcPr>
            <w:tcW w:w="1736" w:type="dxa"/>
            <w:noWrap/>
            <w:vAlign w:val="bottom"/>
          </w:tcPr>
          <w:p w14:paraId="3A01358C" w14:textId="2D94358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5B7001B1" w14:textId="29D7800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C94C6D" w14:paraId="393C865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F74C9D" w14:textId="4B572E2F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0642DA1C" w14:textId="6A93B04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1,20%</w:t>
            </w:r>
          </w:p>
        </w:tc>
        <w:tc>
          <w:tcPr>
            <w:tcW w:w="1737" w:type="dxa"/>
            <w:noWrap/>
            <w:vAlign w:val="bottom"/>
          </w:tcPr>
          <w:p w14:paraId="4DB62B0E" w14:textId="3EDE0FD2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0,82%</w:t>
            </w:r>
          </w:p>
        </w:tc>
        <w:tc>
          <w:tcPr>
            <w:tcW w:w="1736" w:type="dxa"/>
            <w:noWrap/>
            <w:vAlign w:val="bottom"/>
          </w:tcPr>
          <w:p w14:paraId="609E8B7B" w14:textId="6811D37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3D59CDE4" w14:textId="0EE95BF6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C94C6D" w14:paraId="3DCC1C1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FB4BCA" w14:textId="2979B1E7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00977275" w14:textId="3CAAB3F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7" w:type="dxa"/>
            <w:noWrap/>
            <w:vAlign w:val="bottom"/>
          </w:tcPr>
          <w:p w14:paraId="4D0E9F76" w14:textId="7BC7351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6" w:type="dxa"/>
            <w:noWrap/>
            <w:vAlign w:val="bottom"/>
          </w:tcPr>
          <w:p w14:paraId="45084B1C" w14:textId="244D9BB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6A363CEC" w14:textId="505A760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C94C6D" w14:paraId="2E8D03D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5DE5C9" w14:textId="396F6C4C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5F452489" w14:textId="029A737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7" w:type="dxa"/>
            <w:noWrap/>
            <w:vAlign w:val="bottom"/>
          </w:tcPr>
          <w:p w14:paraId="7A9797C6" w14:textId="7A4C0CC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6" w:type="dxa"/>
            <w:noWrap/>
            <w:vAlign w:val="bottom"/>
          </w:tcPr>
          <w:p w14:paraId="24A67860" w14:textId="5293B7E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2164AEA7" w14:textId="080379A2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C94C6D" w14:paraId="6C3EF47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D98B19" w14:textId="085DE55E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EBA342C" w14:textId="1534EC6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687039A6" w14:textId="2A5D765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346081F4" w14:textId="5E92DD45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75662FA6" w14:textId="433F9A33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C94C6D" w14:paraId="450B095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35F238" w14:textId="7A0B7336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E9A189A" w14:textId="244FD2E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7" w:type="dxa"/>
            <w:noWrap/>
            <w:vAlign w:val="bottom"/>
          </w:tcPr>
          <w:p w14:paraId="18AE7FA6" w14:textId="255AE487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7963C384" w14:textId="2AFDC52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03509259" w14:textId="6480D576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C94C6D" w14:paraId="4C14581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714FFA" w14:textId="3D89F27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3D161BB6" w14:textId="7027E74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1431F28E" w14:textId="45E11232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6" w:type="dxa"/>
            <w:noWrap/>
            <w:vAlign w:val="bottom"/>
          </w:tcPr>
          <w:p w14:paraId="5B32F877" w14:textId="6683DC02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4D72E6FD" w14:textId="6B9C1C61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C94C6D" w14:paraId="61253B0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385596E" w14:textId="5EF9A568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6DC4A554" w14:textId="2A4B5D7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2C077596" w14:textId="284DCADE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3536CEE3" w14:textId="4B6C6D4E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12ABBAAD" w14:textId="19AA2E3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C94C6D" w14:paraId="732AC47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55DCD2" w14:textId="30BAD403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505525C" w14:textId="0A643223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283566D2" w14:textId="40E4214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23B64023" w14:textId="0ADDCCA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21C73AE2" w14:textId="7A01FCE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C94C6D" w14:paraId="12FF9CE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C01DAA" w14:textId="39505E5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73ED627" w14:textId="5B403EC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50AA7660" w14:textId="4AB5D00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368C2368" w14:textId="3BF9A38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39372127" w14:textId="73038B32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C94C6D" w14:paraId="72B56A4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3210B1" w14:textId="69FFE17E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62B755E7" w14:textId="187A8102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2E6765A5" w14:textId="2EB3E23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4FB345E7" w14:textId="45FA7CE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8D9C64" w14:textId="35965561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C94C6D" w14:paraId="41F8E85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BA868D" w14:textId="63562B33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2C88C96" w14:textId="7BC42FD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12C64DA2" w14:textId="306D70E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5C9CEC22" w14:textId="71902CB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0B1BBB9B" w14:textId="4311806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C94C6D" w14:paraId="3B6F5F9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F588C7" w14:textId="1177507A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A8CFEDA" w14:textId="29570B2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6E19D2C0" w14:textId="0B5283F3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6FB6FC9E" w14:textId="779CB307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5A0636C1" w14:textId="518D04C2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C94C6D" w14:paraId="75FA821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B3A0D0" w14:textId="29FC7200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182D2DCC" w14:textId="54AE3693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842A39C" w14:textId="3A7097A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F8B4980" w14:textId="0C77550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D8F8553" w14:textId="590612E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4499B" w:rsidRPr="00C94C6D" w14:paraId="2B89068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5E7EE2" w14:textId="591049E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123670C2" w14:textId="60F0649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D906EFC" w14:textId="01507CE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8FE8F57" w14:textId="07D487A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8CDD59F" w14:textId="7F64F46C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4499B" w:rsidRPr="00C94C6D" w14:paraId="2953849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CB8996" w14:textId="4EB755FE" w:rsidR="0044499B" w:rsidRPr="005C73C4" w:rsidRDefault="0044499B" w:rsidP="0044499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56A0999" w14:textId="56C3BAA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FFEFEB6" w14:textId="43C0CEA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47E5493" w14:textId="6E96B6A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D7F57AE" w14:textId="10F0526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008C5A6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12F259" w14:textId="316DFCF0" w:rsidR="007154AA" w:rsidRPr="005C73C4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5E7F11C" w14:textId="521958BC" w:rsidR="007154AA" w:rsidRPr="005C73C4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E19A288" w14:textId="0502A8FB" w:rsidR="007154AA" w:rsidRPr="005C73C4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87CE957" w14:textId="1ED8FA2F" w:rsidR="007154AA" w:rsidRPr="005C73C4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B106F58" w14:textId="3C017457" w:rsidR="007154AA" w:rsidRPr="005C73C4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94C6D" w14:paraId="110225B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754703" w14:textId="77777777" w:rsidR="007154AA" w:rsidRPr="00C94C6D" w:rsidRDefault="007154AA" w:rsidP="007154A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53201E6" w14:textId="0674B57B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A7FC8A8" w14:textId="4573CC62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341AD00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99695EB" w14:textId="77777777" w:rsidR="007154AA" w:rsidRPr="00C94C6D" w:rsidRDefault="007154AA" w:rsidP="007154AA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73C4" w:rsidRPr="00C94C6D" w14:paraId="715A75B9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A6D08E4" w14:textId="77777777" w:rsidR="005C73C4" w:rsidRPr="00C94C6D" w:rsidRDefault="005C73C4" w:rsidP="005C73C4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FAC388" w14:textId="2BCE0522" w:rsidR="005C73C4" w:rsidRPr="005C73C4" w:rsidRDefault="005C73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2C14CB" w14:textId="7DDD3F30" w:rsidR="005C73C4" w:rsidRPr="005C73C4" w:rsidRDefault="005C73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26882A" w14:textId="77777777" w:rsidR="005C73C4" w:rsidRPr="00C94C6D" w:rsidRDefault="005C73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42739F" w14:textId="77777777" w:rsidR="005C73C4" w:rsidRPr="00C94C6D" w:rsidRDefault="005C73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94C6D" w14:paraId="453FA4F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66327AE" w14:textId="77777777" w:rsidR="00706B99" w:rsidRPr="00C94C6D" w:rsidRDefault="00706B99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4F6003A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C736585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20A7EDA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7B13B60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94C6D" w14:paraId="6F56EF3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5A8A8CB" w14:textId="77777777" w:rsidR="00706B99" w:rsidRPr="00C94C6D" w:rsidRDefault="00706B99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2604066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1935BEC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D3A68E3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4D6CBD7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94C6D" w14:paraId="782522A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523F169" w14:textId="77777777" w:rsidR="00706B99" w:rsidRPr="00C94C6D" w:rsidRDefault="00706B99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F140A7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84A3C16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2EFBD62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412494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94C6D" w14:paraId="1B0638E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3AF0ED3" w14:textId="77777777" w:rsidR="00706B99" w:rsidRPr="00C94C6D" w:rsidRDefault="00706B99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DD88A4C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73E50AF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CAA49ED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BE2E8B6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94C6D" w14:paraId="534EBE1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8C1C4E4" w14:textId="77777777" w:rsidR="00706B99" w:rsidRPr="00C94C6D" w:rsidRDefault="00706B99" w:rsidP="007C5CB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AB49E7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23EEC0C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2F26CFC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4BFDA6" w14:textId="77777777" w:rsidR="00706B99" w:rsidRPr="00C94C6D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C94C6D" w14:paraId="06763E7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EE0658F" w14:textId="77777777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51A4DE90" w14:textId="2F47FAF6" w:rsidR="0044499B" w:rsidRPr="00C94C6D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23,15%</w:t>
            </w:r>
          </w:p>
        </w:tc>
        <w:tc>
          <w:tcPr>
            <w:tcW w:w="1737" w:type="dxa"/>
            <w:noWrap/>
            <w:vAlign w:val="bottom"/>
          </w:tcPr>
          <w:p w14:paraId="3CFB1C52" w14:textId="7773738D" w:rsidR="0044499B" w:rsidRPr="00C94C6D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22,70%</w:t>
            </w:r>
          </w:p>
        </w:tc>
        <w:tc>
          <w:tcPr>
            <w:tcW w:w="1736" w:type="dxa"/>
            <w:noWrap/>
            <w:vAlign w:val="center"/>
          </w:tcPr>
          <w:p w14:paraId="087A3FBF" w14:textId="77777777" w:rsidR="0044499B" w:rsidRPr="00C94C6D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EC4094" w14:textId="77777777" w:rsidR="0044499B" w:rsidRPr="00C94C6D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14726C3" w14:textId="77777777" w:rsidR="00B2619C" w:rsidRPr="00C94C6D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C94C6D" w14:paraId="3CC96D1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21A6BDEA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14D080E5" w14:textId="2ADDB3C1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1DED89BA" w14:textId="09CF9820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C94C6D" w14:paraId="6501348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1669E1C2" w14:textId="69859CF4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70690A9" w14:textId="0852B74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14,28%</w:t>
            </w:r>
          </w:p>
        </w:tc>
        <w:tc>
          <w:tcPr>
            <w:tcW w:w="2977" w:type="dxa"/>
            <w:vAlign w:val="bottom"/>
          </w:tcPr>
          <w:p w14:paraId="51E8A4A5" w14:textId="684CD4C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15,00%</w:t>
            </w:r>
          </w:p>
        </w:tc>
      </w:tr>
      <w:tr w:rsidR="0044499B" w:rsidRPr="00C94C6D" w14:paraId="11192595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A489F57" w14:textId="53ED17B1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4F15C251" w14:textId="668C083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21,08%</w:t>
            </w:r>
          </w:p>
        </w:tc>
        <w:tc>
          <w:tcPr>
            <w:tcW w:w="2977" w:type="dxa"/>
            <w:vAlign w:val="bottom"/>
          </w:tcPr>
          <w:p w14:paraId="10CC850E" w14:textId="252541F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20,70%</w:t>
            </w:r>
          </w:p>
        </w:tc>
      </w:tr>
    </w:tbl>
    <w:p w14:paraId="0CC38126" w14:textId="77777777" w:rsidR="00B2619C" w:rsidRPr="00C94C6D" w:rsidRDefault="00B2619C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C94C6D" w14:paraId="4CC83BE9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33E553D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4958D51C" w14:textId="38D6A8FF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6FF465BE" w14:textId="050241F6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DF00A4F" w14:textId="77777777" w:rsidR="000B3154" w:rsidRPr="00C94C6D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Variazione</w:t>
            </w:r>
          </w:p>
        </w:tc>
      </w:tr>
      <w:tr w:rsidR="0044499B" w:rsidRPr="00C94C6D" w14:paraId="4A96C918" w14:textId="77777777" w:rsidTr="006A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8AF30DD" w14:textId="77777777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Contratti totali</w:t>
            </w:r>
          </w:p>
        </w:tc>
        <w:tc>
          <w:tcPr>
            <w:tcW w:w="2192" w:type="dxa"/>
            <w:vAlign w:val="bottom"/>
          </w:tcPr>
          <w:p w14:paraId="33F2523F" w14:textId="389A7A5D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9.144.420</w:t>
            </w:r>
          </w:p>
        </w:tc>
        <w:tc>
          <w:tcPr>
            <w:tcW w:w="2460" w:type="dxa"/>
            <w:vAlign w:val="bottom"/>
          </w:tcPr>
          <w:p w14:paraId="724A0B0F" w14:textId="1955108A" w:rsidR="0044499B" w:rsidRPr="005C73C4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8.009.038</w:t>
            </w:r>
          </w:p>
        </w:tc>
        <w:tc>
          <w:tcPr>
            <w:tcW w:w="2259" w:type="dxa"/>
            <w:vAlign w:val="bottom"/>
          </w:tcPr>
          <w:p w14:paraId="1D9725ED" w14:textId="6F682DE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14,18%</w:t>
            </w:r>
          </w:p>
        </w:tc>
      </w:tr>
      <w:tr w:rsidR="0044499B" w:rsidRPr="00C94C6D" w14:paraId="32E96691" w14:textId="77777777" w:rsidTr="006A480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5AD68F3" w14:textId="6437B049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389FF3D7" w14:textId="0AB725A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6.417.566</w:t>
            </w:r>
          </w:p>
        </w:tc>
        <w:tc>
          <w:tcPr>
            <w:tcW w:w="2460" w:type="dxa"/>
            <w:vAlign w:val="bottom"/>
          </w:tcPr>
          <w:p w14:paraId="6B5A5678" w14:textId="2F2D67CB" w:rsidR="0044499B" w:rsidRPr="005C73C4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5.486.314</w:t>
            </w:r>
          </w:p>
        </w:tc>
        <w:tc>
          <w:tcPr>
            <w:tcW w:w="2259" w:type="dxa"/>
            <w:vAlign w:val="bottom"/>
          </w:tcPr>
          <w:p w14:paraId="03B431DC" w14:textId="7BF3999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16,97%</w:t>
            </w:r>
          </w:p>
        </w:tc>
      </w:tr>
      <w:tr w:rsidR="0044499B" w:rsidRPr="00C94C6D" w14:paraId="6032DF71" w14:textId="77777777" w:rsidTr="006A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F109182" w14:textId="77777777" w:rsidR="0044499B" w:rsidRPr="00C94C6D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94C6D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79AAF0FB" w14:textId="4B57C3DE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1,42</w:t>
            </w:r>
          </w:p>
        </w:tc>
        <w:tc>
          <w:tcPr>
            <w:tcW w:w="2460" w:type="dxa"/>
            <w:vAlign w:val="bottom"/>
          </w:tcPr>
          <w:p w14:paraId="2DEBB556" w14:textId="0101F44B" w:rsidR="0044499B" w:rsidRPr="005C73C4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1,46</w:t>
            </w:r>
          </w:p>
        </w:tc>
        <w:tc>
          <w:tcPr>
            <w:tcW w:w="2259" w:type="dxa"/>
            <w:vAlign w:val="bottom"/>
          </w:tcPr>
          <w:p w14:paraId="46986A4D" w14:textId="77777777" w:rsidR="0044499B" w:rsidRPr="005C73C4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AB2D93B" w14:textId="77777777" w:rsidR="00706B99" w:rsidRPr="00B2004F" w:rsidRDefault="00706B99" w:rsidP="00706B99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MINI FUTURES SU INDICE </w:t>
      </w:r>
      <w:r w:rsidR="00BB40C2">
        <w:rPr>
          <w:color w:val="4F81BD" w:themeColor="accent1"/>
        </w:rPr>
        <w:t xml:space="preserve">- </w:t>
      </w:r>
      <w:r>
        <w:rPr>
          <w:color w:val="4F81BD" w:themeColor="accent1"/>
        </w:rPr>
        <w:t xml:space="preserve">CONTRATTI TOTALI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</w:t>
      </w:r>
    </w:p>
    <w:p w14:paraId="5A44647B" w14:textId="77777777" w:rsidR="00B2619C" w:rsidRDefault="00B2619C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D54B28" w14:paraId="036126D5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CCF976E" w14:textId="77777777" w:rsidR="00A635A4" w:rsidRPr="00D54B2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2F11B26" w14:textId="2E9310D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6AB3F85" w14:textId="252020D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32B0AC6E" w14:textId="4C618B7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F9311B1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5E6C7F6B" w14:textId="381A8FE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D54B28" w14:paraId="56523B4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1B6FA1" w14:textId="313CBBA7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54963A72" w14:textId="01F7CF10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12,20%</w:t>
            </w:r>
          </w:p>
        </w:tc>
        <w:tc>
          <w:tcPr>
            <w:tcW w:w="1737" w:type="dxa"/>
            <w:noWrap/>
            <w:vAlign w:val="bottom"/>
          </w:tcPr>
          <w:p w14:paraId="224D01C8" w14:textId="1ACF40AD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14,88%</w:t>
            </w:r>
          </w:p>
        </w:tc>
        <w:tc>
          <w:tcPr>
            <w:tcW w:w="1736" w:type="dxa"/>
            <w:noWrap/>
            <w:vAlign w:val="bottom"/>
          </w:tcPr>
          <w:p w14:paraId="7F4A0B60" w14:textId="1BF0F89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-2,68%</w:t>
            </w:r>
          </w:p>
        </w:tc>
        <w:tc>
          <w:tcPr>
            <w:tcW w:w="1737" w:type="dxa"/>
            <w:noWrap/>
            <w:vAlign w:val="bottom"/>
          </w:tcPr>
          <w:p w14:paraId="56A36B24" w14:textId="067E0EEE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D54B28" w14:paraId="1ABBECF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B95F59" w14:textId="2D0F71EA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018BAE88" w14:textId="4491F35A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6,88%</w:t>
            </w:r>
          </w:p>
        </w:tc>
        <w:tc>
          <w:tcPr>
            <w:tcW w:w="1737" w:type="dxa"/>
            <w:noWrap/>
            <w:vAlign w:val="bottom"/>
          </w:tcPr>
          <w:p w14:paraId="66B338AC" w14:textId="2E31994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5,40%</w:t>
            </w:r>
          </w:p>
        </w:tc>
        <w:tc>
          <w:tcPr>
            <w:tcW w:w="1736" w:type="dxa"/>
            <w:noWrap/>
            <w:vAlign w:val="bottom"/>
          </w:tcPr>
          <w:p w14:paraId="04921134" w14:textId="3FD189D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1,48%</w:t>
            </w:r>
          </w:p>
        </w:tc>
        <w:tc>
          <w:tcPr>
            <w:tcW w:w="1737" w:type="dxa"/>
            <w:noWrap/>
            <w:vAlign w:val="bottom"/>
          </w:tcPr>
          <w:p w14:paraId="72AABA59" w14:textId="64A0CEAC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D54B28" w14:paraId="5EDDDC8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7E39F6" w14:textId="08257BB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23826CBC" w14:textId="2108168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2,85%</w:t>
            </w:r>
          </w:p>
        </w:tc>
        <w:tc>
          <w:tcPr>
            <w:tcW w:w="1737" w:type="dxa"/>
            <w:noWrap/>
            <w:vAlign w:val="bottom"/>
          </w:tcPr>
          <w:p w14:paraId="5D921E05" w14:textId="4E54832B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2,80%</w:t>
            </w:r>
          </w:p>
        </w:tc>
        <w:tc>
          <w:tcPr>
            <w:tcW w:w="1736" w:type="dxa"/>
            <w:noWrap/>
            <w:vAlign w:val="bottom"/>
          </w:tcPr>
          <w:p w14:paraId="499688B9" w14:textId="1B38F1D3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2F07F20E" w14:textId="72A1E006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D54B28" w14:paraId="11CD3F8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62E26C" w14:textId="471C451C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6C94EA80" w14:textId="229411A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27F52338" w14:textId="2574E16C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2,25%</w:t>
            </w:r>
          </w:p>
        </w:tc>
        <w:tc>
          <w:tcPr>
            <w:tcW w:w="1736" w:type="dxa"/>
            <w:noWrap/>
            <w:vAlign w:val="bottom"/>
          </w:tcPr>
          <w:p w14:paraId="0254E0CE" w14:textId="0FF8ABDA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-0,41%</w:t>
            </w:r>
          </w:p>
        </w:tc>
        <w:tc>
          <w:tcPr>
            <w:tcW w:w="1737" w:type="dxa"/>
            <w:noWrap/>
            <w:vAlign w:val="bottom"/>
          </w:tcPr>
          <w:p w14:paraId="0D4100ED" w14:textId="51E585D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D54B28" w14:paraId="7341CFD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0A9D5D" w14:textId="6D4C530F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443AB06" w14:textId="241B4B0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1,65%</w:t>
            </w:r>
          </w:p>
        </w:tc>
        <w:tc>
          <w:tcPr>
            <w:tcW w:w="1737" w:type="dxa"/>
            <w:noWrap/>
            <w:vAlign w:val="bottom"/>
          </w:tcPr>
          <w:p w14:paraId="4304EA25" w14:textId="46193636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1,95%</w:t>
            </w:r>
          </w:p>
        </w:tc>
        <w:tc>
          <w:tcPr>
            <w:tcW w:w="1736" w:type="dxa"/>
            <w:noWrap/>
            <w:vAlign w:val="bottom"/>
          </w:tcPr>
          <w:p w14:paraId="2E97713F" w14:textId="50418F1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-0,30%</w:t>
            </w:r>
          </w:p>
        </w:tc>
        <w:tc>
          <w:tcPr>
            <w:tcW w:w="1737" w:type="dxa"/>
            <w:noWrap/>
            <w:vAlign w:val="bottom"/>
          </w:tcPr>
          <w:p w14:paraId="02E055A2" w14:textId="7E1AEDD2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D54B28" w14:paraId="3595221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D02AFA" w14:textId="6A227F48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530D938F" w14:textId="4879DFD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4AE2AD84" w14:textId="068E4B6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1,07%</w:t>
            </w:r>
          </w:p>
        </w:tc>
        <w:tc>
          <w:tcPr>
            <w:tcW w:w="1736" w:type="dxa"/>
            <w:noWrap/>
            <w:vAlign w:val="bottom"/>
          </w:tcPr>
          <w:p w14:paraId="75276F40" w14:textId="1BEE61CB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-0,68%</w:t>
            </w:r>
          </w:p>
        </w:tc>
        <w:tc>
          <w:tcPr>
            <w:tcW w:w="1737" w:type="dxa"/>
            <w:noWrap/>
            <w:vAlign w:val="bottom"/>
          </w:tcPr>
          <w:p w14:paraId="04E3E357" w14:textId="232A59E7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D54B28" w14:paraId="092B093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49FA57" w14:textId="2AC7AC64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215AC9A" w14:textId="492D380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448B7759" w14:textId="66CADA6D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356E5E49" w14:textId="0F2A73C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623DEE6" w14:textId="6AA917A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D54B28" w14:paraId="6ACAE5D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0DD095" w14:textId="73FE1505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407CE27" w14:textId="7579647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4A7C88D5" w14:textId="4D10089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6" w:type="dxa"/>
            <w:noWrap/>
            <w:vAlign w:val="bottom"/>
          </w:tcPr>
          <w:p w14:paraId="269A24FA" w14:textId="7B2751B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2895D3F" w14:textId="2E76BBCA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D54B28" w14:paraId="4D38D48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E16765" w14:textId="1C0EF3D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56484DE7" w14:textId="04AD9FE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2EE18A4F" w14:textId="13DC331E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1D83C80D" w14:textId="01A1C358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39E5BE9" w14:textId="35CFB85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D54B28" w14:paraId="4CC2F18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83E4BE9" w14:textId="7CDFFCB4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8F2EFB4" w14:textId="37EE90E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0AE29FDD" w14:textId="5639F683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6" w:type="dxa"/>
            <w:noWrap/>
            <w:vAlign w:val="bottom"/>
          </w:tcPr>
          <w:p w14:paraId="331BA219" w14:textId="08B2DE7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4626777E" w14:textId="510CB9F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D54B28" w14:paraId="2096F34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B83F80" w14:textId="704730EA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5068F694" w14:textId="762C685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65C866F4" w14:textId="20AB714D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54227AA7" w14:textId="6C266A8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49C8349B" w14:textId="18D1381A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D54B28" w14:paraId="77A959FD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FFC3E2" w14:textId="2D61F186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440A8DD1" w14:textId="217B5E6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63EF6729" w14:textId="14E0414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6" w:type="dxa"/>
            <w:noWrap/>
            <w:vAlign w:val="bottom"/>
          </w:tcPr>
          <w:p w14:paraId="725580BC" w14:textId="7A35D1D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55389B44" w14:textId="7DBFAE51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D54B28" w14:paraId="7C5E0B8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EE3A65" w14:textId="3D8F66D1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6C42F55A" w14:textId="4168307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5FCB7488" w14:textId="551875E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1B42628B" w14:textId="26705153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CCB3FDE" w14:textId="3DECA34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D54B28" w14:paraId="0104522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ED18C1" w14:textId="3A4101F5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28DB6E5E" w14:textId="6AF4F70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525E637" w14:textId="52B6D93C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6" w:type="dxa"/>
            <w:noWrap/>
            <w:vAlign w:val="bottom"/>
          </w:tcPr>
          <w:p w14:paraId="19FD8C32" w14:textId="4BB8A418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2EF82731" w14:textId="057C09A2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D54B28" w14:paraId="557F2C4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D0635C" w14:textId="028A4853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E8074F2" w14:textId="0E053BA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11359EC" w14:textId="79CEECB5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5E6D610A" w14:textId="125BC794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530A037" w14:textId="66043AED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D54B28" w14:paraId="303883F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D298E1" w14:textId="4B557ED9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C3FB798" w14:textId="29F02220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373237A" w14:textId="7C59F08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3324D052" w14:textId="216E43A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6589AD4" w14:textId="1E25AC25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D54B28" w14:paraId="2951FF8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2B897B" w14:textId="2649B872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3845D2A1" w14:textId="7535BF4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9AE4500" w14:textId="29F927F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5D9A1206" w14:textId="5680237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7AB26823" w14:textId="0CDEB26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D54B28" w14:paraId="0BCBBFC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C3A3D9" w14:textId="566DF4A6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71718735" w14:textId="534F741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2B5CF21E" w14:textId="2A25BD3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27C13819" w14:textId="04D8FAE5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A91F0B2" w14:textId="131DC5BD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D54B28" w14:paraId="1212BE0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89B480" w14:textId="78378D04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17DE5F9B" w14:textId="0629DCD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9066D43" w14:textId="0F0A3731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169A86C6" w14:textId="15F41BC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41310ED4" w14:textId="50DA9E59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D54B28" w14:paraId="478F84A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0FB773" w14:textId="6DF99C3D" w:rsidR="0044499B" w:rsidRPr="005C73C4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9FDB27D" w14:textId="1BEBBD2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4B514B1" w14:textId="3DC572A4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1E79562" w14:textId="5ACBCAC1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C5A843A" w14:textId="572E2B66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D54B28" w14:paraId="603E88F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E1D85B" w14:textId="2143C75E" w:rsidR="0044499B" w:rsidRPr="00D54B28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5E361065" w14:textId="4044166C" w:rsidR="0044499B" w:rsidRPr="00D54B28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B1FDDC3" w14:textId="0F1D0CB2" w:rsidR="0044499B" w:rsidRPr="00D54B28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08B7155" w14:textId="687CCBDF" w:rsidR="0044499B" w:rsidRPr="00D54B28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087AE82" w14:textId="16A62798" w:rsidR="0044499B" w:rsidRPr="00D54B28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44499B" w:rsidRPr="00D54B28" w14:paraId="387C6895" w14:textId="77777777" w:rsidTr="004449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196078" w14:textId="77777777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A96B549" w14:textId="1C0E2259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2B57542" w14:textId="08C581B8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660203F" w14:textId="77777777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0C1DE5D" w14:textId="77777777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73C4" w:rsidRPr="00D54B28" w14:paraId="73BD140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7C4EAF5" w14:textId="77777777" w:rsidR="005C73C4" w:rsidRPr="00D54B28" w:rsidRDefault="005C73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8766FC6" w14:textId="4DE988DD" w:rsidR="005C73C4" w:rsidRPr="005C73C4" w:rsidRDefault="005C73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2AAF6AA" w14:textId="5E6E70C8" w:rsidR="005C73C4" w:rsidRPr="005C73C4" w:rsidRDefault="005C73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3C5BBCA" w14:textId="77777777" w:rsidR="005C73C4" w:rsidRPr="00D54B28" w:rsidRDefault="005C73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3C1FABD" w14:textId="77777777" w:rsidR="005C73C4" w:rsidRPr="00D54B28" w:rsidRDefault="005C73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5440AC41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7B54135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F9355D0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24FD1F3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B361266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6C9299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7536EF2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01D2E0D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A7C8CE8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7364E23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6074D9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46F8464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3FD89D2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782A57B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133D92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F2DD45E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C38FB2D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08F62B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2DFAABA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4127ABF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FBE275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12B59B9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71E0964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65B0C7B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3D4B4801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4978E12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31F3B3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85EE57B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967626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63F812C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2F77DCC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C163219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8C937E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031B46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39FF62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0719DC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0F8E2CC0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5E49B7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3EAF85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FE06A72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6044D2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B3D08FA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D54B28" w14:paraId="68A9883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C5771A1" w14:textId="77777777" w:rsidR="00706B99" w:rsidRPr="00D54B2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1AF09F4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31D8EA9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F6CC00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9FCF757" w14:textId="77777777" w:rsidR="00706B99" w:rsidRPr="00D54B2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D54B28" w14:paraId="13474A8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ADA937F" w14:textId="77777777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3E5944DB" w14:textId="5EED7A22" w:rsidR="0044499B" w:rsidRPr="00D54B28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26,87%</w:t>
            </w:r>
          </w:p>
        </w:tc>
        <w:tc>
          <w:tcPr>
            <w:tcW w:w="1737" w:type="dxa"/>
            <w:noWrap/>
            <w:vAlign w:val="bottom"/>
          </w:tcPr>
          <w:p w14:paraId="01B3579C" w14:textId="5773593F" w:rsidR="0044499B" w:rsidRPr="00D54B28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29,60%</w:t>
            </w:r>
          </w:p>
        </w:tc>
        <w:tc>
          <w:tcPr>
            <w:tcW w:w="1736" w:type="dxa"/>
            <w:noWrap/>
            <w:vAlign w:val="center"/>
          </w:tcPr>
          <w:p w14:paraId="5834AB2D" w14:textId="77777777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97BD54" w14:textId="77777777" w:rsidR="0044499B" w:rsidRPr="00D54B2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10234F8" w14:textId="77777777" w:rsidR="00687BBD" w:rsidRPr="00D54B28" w:rsidRDefault="00687BBD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D54B28" w14:paraId="50538C3F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CB6DC78" w14:textId="77777777" w:rsidR="000B3154" w:rsidRPr="00D54B28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4E34C148" w14:textId="2CD401C5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8E7D141" w14:textId="392E9A91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D54B28" w14:paraId="28A59BC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0381A5D" w14:textId="04D53BE7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73583494" w14:textId="701A0F5C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25,43%</w:t>
            </w:r>
          </w:p>
        </w:tc>
        <w:tc>
          <w:tcPr>
            <w:tcW w:w="2977" w:type="dxa"/>
            <w:vAlign w:val="bottom"/>
          </w:tcPr>
          <w:p w14:paraId="19E606F5" w14:textId="32CC356F" w:rsidR="0044499B" w:rsidRPr="005C73C4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27,29%</w:t>
            </w:r>
          </w:p>
        </w:tc>
      </w:tr>
      <w:tr w:rsidR="0044499B" w:rsidRPr="00D54B28" w14:paraId="68672C38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7455F2AA" w14:textId="64D54A94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204B47A4" w14:textId="5F2AA449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26,58%</w:t>
            </w:r>
          </w:p>
        </w:tc>
        <w:tc>
          <w:tcPr>
            <w:tcW w:w="2977" w:type="dxa"/>
            <w:vAlign w:val="bottom"/>
          </w:tcPr>
          <w:p w14:paraId="03081701" w14:textId="01ED70DF" w:rsidR="0044499B" w:rsidRPr="005C73C4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29,24%</w:t>
            </w:r>
          </w:p>
        </w:tc>
      </w:tr>
    </w:tbl>
    <w:p w14:paraId="59185CA7" w14:textId="77777777" w:rsidR="00706B99" w:rsidRPr="00D54B28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D54B28" w14:paraId="2918D5C3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16A74A43" w14:textId="77777777" w:rsidR="000B3154" w:rsidRPr="00D54B28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2AD8ACC8" w14:textId="4EA99351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55693039" w14:textId="4A27F917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3F6BE40E" w14:textId="77777777" w:rsidR="000B3154" w:rsidRPr="00D54B2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Variazione</w:t>
            </w:r>
          </w:p>
        </w:tc>
      </w:tr>
      <w:tr w:rsidR="0044499B" w:rsidRPr="00D54B28" w14:paraId="7C8FE9E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38CD6A2A" w14:textId="77777777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Contratti totali</w:t>
            </w:r>
          </w:p>
        </w:tc>
        <w:tc>
          <w:tcPr>
            <w:tcW w:w="2192" w:type="dxa"/>
            <w:vAlign w:val="bottom"/>
          </w:tcPr>
          <w:p w14:paraId="3B6E9C4F" w14:textId="46B172D5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4.139.151</w:t>
            </w:r>
          </w:p>
        </w:tc>
        <w:tc>
          <w:tcPr>
            <w:tcW w:w="2460" w:type="dxa"/>
            <w:vAlign w:val="bottom"/>
          </w:tcPr>
          <w:p w14:paraId="1D6F4E61" w14:textId="208F3B6F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3.269.290</w:t>
            </w:r>
          </w:p>
        </w:tc>
        <w:tc>
          <w:tcPr>
            <w:tcW w:w="2259" w:type="dxa"/>
            <w:vAlign w:val="bottom"/>
          </w:tcPr>
          <w:p w14:paraId="521EA43F" w14:textId="31E7D3F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26,61%</w:t>
            </w:r>
          </w:p>
        </w:tc>
      </w:tr>
      <w:tr w:rsidR="0044499B" w:rsidRPr="00D54B28" w14:paraId="195B0077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80CA3F9" w14:textId="69D5B016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57FB60B2" w14:textId="25BA640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3.530.873</w:t>
            </w:r>
          </w:p>
        </w:tc>
        <w:tc>
          <w:tcPr>
            <w:tcW w:w="2460" w:type="dxa"/>
            <w:vAlign w:val="bottom"/>
          </w:tcPr>
          <w:p w14:paraId="61B97350" w14:textId="7A9BF8BE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2.658.184</w:t>
            </w:r>
          </w:p>
        </w:tc>
        <w:tc>
          <w:tcPr>
            <w:tcW w:w="2259" w:type="dxa"/>
            <w:vAlign w:val="bottom"/>
          </w:tcPr>
          <w:p w14:paraId="2289BE6C" w14:textId="4CA2849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32,83%</w:t>
            </w:r>
          </w:p>
        </w:tc>
      </w:tr>
      <w:tr w:rsidR="0044499B" w:rsidRPr="00D54B28" w14:paraId="21BFE6D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32D96CB" w14:textId="77777777" w:rsidR="0044499B" w:rsidRPr="00D54B2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54B28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16FEC11E" w14:textId="11C465C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2460" w:type="dxa"/>
            <w:vAlign w:val="bottom"/>
          </w:tcPr>
          <w:p w14:paraId="4643476F" w14:textId="36803DA2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</w:t>
            </w:r>
          </w:p>
        </w:tc>
        <w:tc>
          <w:tcPr>
            <w:tcW w:w="2259" w:type="dxa"/>
            <w:vAlign w:val="bottom"/>
          </w:tcPr>
          <w:p w14:paraId="1E183542" w14:textId="77777777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A0792FB" w14:textId="77777777" w:rsidR="00706B99" w:rsidRPr="00B2004F" w:rsidRDefault="00706B99" w:rsidP="00706B99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OPZIONI SU INDICE </w:t>
      </w:r>
      <w:r w:rsidR="00BB40C2">
        <w:rPr>
          <w:color w:val="4F81BD" w:themeColor="accent1"/>
        </w:rPr>
        <w:t xml:space="preserve">- </w:t>
      </w:r>
      <w:r>
        <w:rPr>
          <w:color w:val="4F81BD" w:themeColor="accent1"/>
        </w:rPr>
        <w:t xml:space="preserve">CONTRATTI TOTALI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</w:t>
      </w:r>
    </w:p>
    <w:p w14:paraId="6F9E8EF5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831B71" w14:paraId="74BDE113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0DF3CCC" w14:textId="77777777" w:rsidR="00A635A4" w:rsidRPr="00831B71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F2C383F" w14:textId="7BAAE0C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5E76B66E" w14:textId="28327BC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B418962" w14:textId="588051D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43AE18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74E0F257" w14:textId="21EA312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831B71" w14:paraId="23C67B2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707E47" w14:textId="3284DC4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DA944AD" w14:textId="2E0412F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8,45%</w:t>
            </w:r>
          </w:p>
        </w:tc>
        <w:tc>
          <w:tcPr>
            <w:tcW w:w="1737" w:type="dxa"/>
            <w:noWrap/>
            <w:vAlign w:val="bottom"/>
          </w:tcPr>
          <w:p w14:paraId="61BCADB6" w14:textId="6D58993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6,87%</w:t>
            </w:r>
          </w:p>
        </w:tc>
        <w:tc>
          <w:tcPr>
            <w:tcW w:w="1736" w:type="dxa"/>
            <w:noWrap/>
            <w:vAlign w:val="bottom"/>
          </w:tcPr>
          <w:p w14:paraId="1E610B8A" w14:textId="7AFBE7F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1,58%</w:t>
            </w:r>
          </w:p>
        </w:tc>
        <w:tc>
          <w:tcPr>
            <w:tcW w:w="1737" w:type="dxa"/>
            <w:noWrap/>
            <w:vAlign w:val="bottom"/>
          </w:tcPr>
          <w:p w14:paraId="0C04809B" w14:textId="2CFEE61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831B71" w14:paraId="09CE802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6E32AD" w14:textId="49CDE7D5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6E9AC53A" w14:textId="7B43AA4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6,63%</w:t>
            </w:r>
          </w:p>
        </w:tc>
        <w:tc>
          <w:tcPr>
            <w:tcW w:w="1737" w:type="dxa"/>
            <w:noWrap/>
            <w:vAlign w:val="bottom"/>
          </w:tcPr>
          <w:p w14:paraId="428D2C9E" w14:textId="6DE9103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7,05%</w:t>
            </w:r>
          </w:p>
        </w:tc>
        <w:tc>
          <w:tcPr>
            <w:tcW w:w="1736" w:type="dxa"/>
            <w:noWrap/>
            <w:vAlign w:val="bottom"/>
          </w:tcPr>
          <w:p w14:paraId="3CF58EA1" w14:textId="2120938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-0,42%</w:t>
            </w:r>
          </w:p>
        </w:tc>
        <w:tc>
          <w:tcPr>
            <w:tcW w:w="1737" w:type="dxa"/>
            <w:noWrap/>
            <w:vAlign w:val="bottom"/>
          </w:tcPr>
          <w:p w14:paraId="336D792D" w14:textId="79C98C9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831B71" w14:paraId="658B370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17129C" w14:textId="44248807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A31DE96" w14:textId="48834D7C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6,47%</w:t>
            </w:r>
          </w:p>
        </w:tc>
        <w:tc>
          <w:tcPr>
            <w:tcW w:w="1737" w:type="dxa"/>
            <w:noWrap/>
            <w:vAlign w:val="bottom"/>
          </w:tcPr>
          <w:p w14:paraId="4634FA42" w14:textId="704058D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2,53%</w:t>
            </w:r>
          </w:p>
        </w:tc>
        <w:tc>
          <w:tcPr>
            <w:tcW w:w="1736" w:type="dxa"/>
            <w:noWrap/>
            <w:vAlign w:val="bottom"/>
          </w:tcPr>
          <w:p w14:paraId="797180AD" w14:textId="6F9C7B2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3,94%</w:t>
            </w:r>
          </w:p>
        </w:tc>
        <w:tc>
          <w:tcPr>
            <w:tcW w:w="1737" w:type="dxa"/>
            <w:noWrap/>
            <w:vAlign w:val="bottom"/>
          </w:tcPr>
          <w:p w14:paraId="126270B9" w14:textId="612C912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831B71" w14:paraId="352A3BD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CC09BA" w14:textId="05C9823A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69DDECA" w14:textId="1E95A49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3,06%</w:t>
            </w:r>
          </w:p>
        </w:tc>
        <w:tc>
          <w:tcPr>
            <w:tcW w:w="1737" w:type="dxa"/>
            <w:noWrap/>
            <w:vAlign w:val="bottom"/>
          </w:tcPr>
          <w:p w14:paraId="6178CA64" w14:textId="6DD9080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3,37%</w:t>
            </w:r>
          </w:p>
        </w:tc>
        <w:tc>
          <w:tcPr>
            <w:tcW w:w="1736" w:type="dxa"/>
            <w:noWrap/>
            <w:vAlign w:val="bottom"/>
          </w:tcPr>
          <w:p w14:paraId="71F94474" w14:textId="3A16E5F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-0,31%</w:t>
            </w:r>
          </w:p>
        </w:tc>
        <w:tc>
          <w:tcPr>
            <w:tcW w:w="1737" w:type="dxa"/>
            <w:noWrap/>
            <w:vAlign w:val="bottom"/>
          </w:tcPr>
          <w:p w14:paraId="02C40616" w14:textId="1B8014E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831B71" w14:paraId="23AD5CE7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470D70" w14:textId="1BAEF7A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0DB5A1B" w14:textId="225E8BD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2,40%</w:t>
            </w:r>
          </w:p>
        </w:tc>
        <w:tc>
          <w:tcPr>
            <w:tcW w:w="1737" w:type="dxa"/>
            <w:noWrap/>
            <w:vAlign w:val="bottom"/>
          </w:tcPr>
          <w:p w14:paraId="6A1C7E2B" w14:textId="2026B0D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1,46%</w:t>
            </w:r>
          </w:p>
        </w:tc>
        <w:tc>
          <w:tcPr>
            <w:tcW w:w="1736" w:type="dxa"/>
            <w:noWrap/>
            <w:vAlign w:val="bottom"/>
          </w:tcPr>
          <w:p w14:paraId="622138F2" w14:textId="075AC86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0,94%</w:t>
            </w:r>
          </w:p>
        </w:tc>
        <w:tc>
          <w:tcPr>
            <w:tcW w:w="1737" w:type="dxa"/>
            <w:noWrap/>
            <w:vAlign w:val="bottom"/>
          </w:tcPr>
          <w:p w14:paraId="2F928963" w14:textId="40C6D5E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831B71" w14:paraId="0ED55F1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D1DDC3" w14:textId="270911DB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A35657F" w14:textId="21FEB99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2,12%</w:t>
            </w:r>
          </w:p>
        </w:tc>
        <w:tc>
          <w:tcPr>
            <w:tcW w:w="1737" w:type="dxa"/>
            <w:noWrap/>
            <w:vAlign w:val="bottom"/>
          </w:tcPr>
          <w:p w14:paraId="5D8382F1" w14:textId="442327E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1,94%</w:t>
            </w:r>
          </w:p>
        </w:tc>
        <w:tc>
          <w:tcPr>
            <w:tcW w:w="1736" w:type="dxa"/>
            <w:noWrap/>
            <w:vAlign w:val="bottom"/>
          </w:tcPr>
          <w:p w14:paraId="19432E2C" w14:textId="13BDC1E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414F0090" w14:textId="71C4624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831B71" w14:paraId="33229B0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ADD9D6" w14:textId="15FA3F5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6A8AB078" w14:textId="3C5BC8E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1,96%</w:t>
            </w:r>
          </w:p>
        </w:tc>
        <w:tc>
          <w:tcPr>
            <w:tcW w:w="1737" w:type="dxa"/>
            <w:noWrap/>
            <w:vAlign w:val="bottom"/>
          </w:tcPr>
          <w:p w14:paraId="65A0E19B" w14:textId="28368AB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6" w:type="dxa"/>
            <w:noWrap/>
            <w:vAlign w:val="bottom"/>
          </w:tcPr>
          <w:p w14:paraId="67FBD45E" w14:textId="4F74C86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1,74%</w:t>
            </w:r>
          </w:p>
        </w:tc>
        <w:tc>
          <w:tcPr>
            <w:tcW w:w="1737" w:type="dxa"/>
            <w:noWrap/>
            <w:vAlign w:val="bottom"/>
          </w:tcPr>
          <w:p w14:paraId="430F0AEA" w14:textId="4E37FDA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831B71" w14:paraId="33B1F6A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A17A0F" w14:textId="550B4716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3AD48597" w14:textId="2CB2F92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1,91%</w:t>
            </w:r>
          </w:p>
        </w:tc>
        <w:tc>
          <w:tcPr>
            <w:tcW w:w="1737" w:type="dxa"/>
            <w:noWrap/>
            <w:vAlign w:val="bottom"/>
          </w:tcPr>
          <w:p w14:paraId="0615BA2A" w14:textId="690CFEB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1,97%</w:t>
            </w:r>
          </w:p>
        </w:tc>
        <w:tc>
          <w:tcPr>
            <w:tcW w:w="1736" w:type="dxa"/>
            <w:noWrap/>
            <w:vAlign w:val="bottom"/>
          </w:tcPr>
          <w:p w14:paraId="0A939B9A" w14:textId="3293CEF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5BC51B37" w14:textId="6B781E4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831B71" w14:paraId="6737FD3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4F5CAC" w14:textId="7A2E018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78A318AF" w14:textId="51FE58F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7" w:type="dxa"/>
            <w:noWrap/>
            <w:vAlign w:val="bottom"/>
          </w:tcPr>
          <w:p w14:paraId="23F6E87D" w14:textId="25A7AE0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2,44%</w:t>
            </w:r>
          </w:p>
        </w:tc>
        <w:tc>
          <w:tcPr>
            <w:tcW w:w="1736" w:type="dxa"/>
            <w:noWrap/>
            <w:vAlign w:val="bottom"/>
          </w:tcPr>
          <w:p w14:paraId="5241C113" w14:textId="2CCB57F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-1,40%</w:t>
            </w:r>
          </w:p>
        </w:tc>
        <w:tc>
          <w:tcPr>
            <w:tcW w:w="1737" w:type="dxa"/>
            <w:noWrap/>
            <w:vAlign w:val="bottom"/>
          </w:tcPr>
          <w:p w14:paraId="3F98E28C" w14:textId="0FFBA03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831B71" w14:paraId="1EF365B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FAC19C" w14:textId="433F0C64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53E25D34" w14:textId="64CB361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1,02%</w:t>
            </w:r>
          </w:p>
        </w:tc>
        <w:tc>
          <w:tcPr>
            <w:tcW w:w="1737" w:type="dxa"/>
            <w:noWrap/>
            <w:vAlign w:val="bottom"/>
          </w:tcPr>
          <w:p w14:paraId="2E1E846F" w14:textId="62E5E69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1,77%</w:t>
            </w:r>
          </w:p>
        </w:tc>
        <w:tc>
          <w:tcPr>
            <w:tcW w:w="1736" w:type="dxa"/>
            <w:noWrap/>
            <w:vAlign w:val="bottom"/>
          </w:tcPr>
          <w:p w14:paraId="63CB696B" w14:textId="28CB31F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-0,74%</w:t>
            </w:r>
          </w:p>
        </w:tc>
        <w:tc>
          <w:tcPr>
            <w:tcW w:w="1737" w:type="dxa"/>
            <w:noWrap/>
            <w:vAlign w:val="bottom"/>
          </w:tcPr>
          <w:p w14:paraId="0D981893" w14:textId="164818FD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831B71" w14:paraId="5EDD453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910A2B" w14:textId="66F34FFD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9400FC7" w14:textId="1F5091F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7" w:type="dxa"/>
            <w:noWrap/>
            <w:vAlign w:val="bottom"/>
          </w:tcPr>
          <w:p w14:paraId="19AA1E63" w14:textId="70FBE67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6" w:type="dxa"/>
            <w:noWrap/>
            <w:vAlign w:val="bottom"/>
          </w:tcPr>
          <w:p w14:paraId="2E5C6E51" w14:textId="0AC5AFF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7" w:type="dxa"/>
            <w:noWrap/>
            <w:vAlign w:val="bottom"/>
          </w:tcPr>
          <w:p w14:paraId="2B00F5AA" w14:textId="5CFB46F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831B71" w14:paraId="140BBB8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B5FDC3" w14:textId="2EDDE465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05D5226C" w14:textId="118FC3C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0,86%</w:t>
            </w:r>
          </w:p>
        </w:tc>
        <w:tc>
          <w:tcPr>
            <w:tcW w:w="1737" w:type="dxa"/>
            <w:noWrap/>
            <w:vAlign w:val="bottom"/>
          </w:tcPr>
          <w:p w14:paraId="5C963105" w14:textId="5357191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6" w:type="dxa"/>
            <w:noWrap/>
            <w:vAlign w:val="bottom"/>
          </w:tcPr>
          <w:p w14:paraId="08E377F8" w14:textId="4F695E3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7" w:type="dxa"/>
            <w:noWrap/>
            <w:vAlign w:val="bottom"/>
          </w:tcPr>
          <w:p w14:paraId="197E0ED5" w14:textId="18514BC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831B71" w14:paraId="67E76F6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125DBB9" w14:textId="01D5410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446B0C18" w14:textId="6D2B74D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59BBBDEC" w14:textId="372D4B4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0,67%</w:t>
            </w:r>
          </w:p>
        </w:tc>
        <w:tc>
          <w:tcPr>
            <w:tcW w:w="1736" w:type="dxa"/>
            <w:noWrap/>
            <w:vAlign w:val="bottom"/>
          </w:tcPr>
          <w:p w14:paraId="1271F256" w14:textId="5FAD82A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386A7A6D" w14:textId="1E7988A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831B71" w14:paraId="0B40C6F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A8B687" w14:textId="377B1AB2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76F2E29" w14:textId="08BBFDD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0,67%</w:t>
            </w:r>
          </w:p>
        </w:tc>
        <w:tc>
          <w:tcPr>
            <w:tcW w:w="1737" w:type="dxa"/>
            <w:noWrap/>
            <w:vAlign w:val="bottom"/>
          </w:tcPr>
          <w:p w14:paraId="0F4AC1ED" w14:textId="2F05555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1,35%</w:t>
            </w:r>
          </w:p>
        </w:tc>
        <w:tc>
          <w:tcPr>
            <w:tcW w:w="1736" w:type="dxa"/>
            <w:noWrap/>
            <w:vAlign w:val="bottom"/>
          </w:tcPr>
          <w:p w14:paraId="41FE4B35" w14:textId="7AA8456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-0,68%</w:t>
            </w:r>
          </w:p>
        </w:tc>
        <w:tc>
          <w:tcPr>
            <w:tcW w:w="1737" w:type="dxa"/>
            <w:noWrap/>
            <w:vAlign w:val="bottom"/>
          </w:tcPr>
          <w:p w14:paraId="53980D3D" w14:textId="247B1C8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831B71" w14:paraId="5518C825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1D9120" w14:textId="2201D24A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3C555696" w14:textId="3AED2EA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0,54%</w:t>
            </w:r>
          </w:p>
        </w:tc>
        <w:tc>
          <w:tcPr>
            <w:tcW w:w="1737" w:type="dxa"/>
            <w:noWrap/>
            <w:vAlign w:val="bottom"/>
          </w:tcPr>
          <w:p w14:paraId="30E789CA" w14:textId="3823D1B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6" w:type="dxa"/>
            <w:noWrap/>
            <w:vAlign w:val="bottom"/>
          </w:tcPr>
          <w:p w14:paraId="3D9DE74B" w14:textId="5130A4B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-0,16%</w:t>
            </w:r>
          </w:p>
        </w:tc>
        <w:tc>
          <w:tcPr>
            <w:tcW w:w="1737" w:type="dxa"/>
            <w:noWrap/>
            <w:vAlign w:val="bottom"/>
          </w:tcPr>
          <w:p w14:paraId="6DBF0B13" w14:textId="522C789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831B71" w14:paraId="1F1D840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C3112E" w14:textId="0F1A3C54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076CE1B" w14:textId="7C891A5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68CDA4B8" w14:textId="32C43B7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6" w:type="dxa"/>
            <w:noWrap/>
            <w:vAlign w:val="bottom"/>
          </w:tcPr>
          <w:p w14:paraId="3435088D" w14:textId="2D2954F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-0,48%</w:t>
            </w:r>
          </w:p>
        </w:tc>
        <w:tc>
          <w:tcPr>
            <w:tcW w:w="1737" w:type="dxa"/>
            <w:noWrap/>
            <w:vAlign w:val="bottom"/>
          </w:tcPr>
          <w:p w14:paraId="7195E921" w14:textId="25AD455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831B71" w14:paraId="0CA9B76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5E25A8" w14:textId="03494079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18D76B36" w14:textId="2C3B01B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7" w:type="dxa"/>
            <w:noWrap/>
            <w:vAlign w:val="bottom"/>
          </w:tcPr>
          <w:p w14:paraId="1B38AD8B" w14:textId="6EBE170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6" w:type="dxa"/>
            <w:noWrap/>
            <w:vAlign w:val="bottom"/>
          </w:tcPr>
          <w:p w14:paraId="68666671" w14:textId="0D85A1C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3B74D8B0" w14:textId="5A9C71D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831B71" w14:paraId="4854201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5ED8743" w14:textId="3EC71194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46B12EB" w14:textId="75FA2C8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7AC1ABB1" w14:textId="198A7DF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72E49BD6" w14:textId="710E9D8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73B485E" w14:textId="58BE4478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831B71" w14:paraId="0EBBE08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5F889D" w14:textId="16559653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1208D7B7" w14:textId="6C74A2C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78483170" w14:textId="51948D3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6" w:type="dxa"/>
            <w:noWrap/>
            <w:vAlign w:val="bottom"/>
          </w:tcPr>
          <w:p w14:paraId="049D8B1B" w14:textId="4AFA85B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2AEE3033" w14:textId="07E8BEA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831B71" w14:paraId="1AB6929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A095BF" w14:textId="06E71292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239D94E8" w14:textId="69C00ED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6F665DEC" w14:textId="0806BAA8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6" w:type="dxa"/>
            <w:noWrap/>
            <w:vAlign w:val="bottom"/>
          </w:tcPr>
          <w:p w14:paraId="452E182D" w14:textId="0533835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1462507D" w14:textId="244379CD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831B71" w14:paraId="3F44AEE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229A1F" w14:textId="4BA4805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F7F8D59" w14:textId="00DC85C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B5E735D" w14:textId="270462D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17C7D25" w14:textId="6E513D4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FD9BD6C" w14:textId="3DA9C53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44499B" w:rsidRPr="00831B71" w14:paraId="20AF559E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F79A01" w14:textId="34FEE7F5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5DDC0562" w14:textId="32155ED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CC76574" w14:textId="78E4713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688BFFB6" w14:textId="6ED72DC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DDDCA86" w14:textId="5004287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44499B" w:rsidRPr="00831B71" w14:paraId="390F490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744733" w14:textId="36521BE5" w:rsidR="0044499B" w:rsidRPr="00510D9B" w:rsidRDefault="0044499B" w:rsidP="0044499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4DC16DD" w14:textId="7305C49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A6603FC" w14:textId="482CA01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6B3CED5" w14:textId="7322A4B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B12BDFD" w14:textId="49A8FDE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831B71" w14:paraId="5F0FE71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70B11D" w14:textId="77777777" w:rsidR="007154AA" w:rsidRPr="00831B71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04761C6" w14:textId="6F1FE187" w:rsidR="007154AA" w:rsidRPr="00831B7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D7EEAA1" w14:textId="2E1ED00A" w:rsidR="007154AA" w:rsidRPr="00831B7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8FC0C84" w14:textId="77777777" w:rsidR="007154AA" w:rsidRPr="00831B7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878D854" w14:textId="77777777" w:rsidR="007154AA" w:rsidRPr="00831B7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831B71" w14:paraId="1717E04D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020DEEF" w14:textId="77777777" w:rsidR="00510D9B" w:rsidRPr="00831B71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15232F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DF389EF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2FF5F18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9EFFF09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831B71" w14:paraId="3AB2A5D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A04B042" w14:textId="77777777" w:rsidR="00510D9B" w:rsidRPr="00831B71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0EA95FC" w14:textId="7FAB93D9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288E5B8" w14:textId="28EF4EB7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E1C9BF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054847" w14:textId="77777777" w:rsidR="00510D9B" w:rsidRPr="00831B71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831B71" w14:paraId="2441158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291A922" w14:textId="77777777" w:rsidR="00706B99" w:rsidRPr="00831B7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91270BD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37BF860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F43C10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5B10CB3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831B71" w14:paraId="5802C06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FE3C876" w14:textId="77777777" w:rsidR="00706B99" w:rsidRPr="00831B7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08E50B4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EBACA5B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F1CB0B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D073180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831B71" w14:paraId="1E9EC30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C9D405B" w14:textId="77777777" w:rsidR="00706B99" w:rsidRPr="00831B7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7BAE1B0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70F5E1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958384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9E3436E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831B71" w14:paraId="034C662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BADBFBC" w14:textId="77777777" w:rsidR="00706B99" w:rsidRPr="00831B7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A16C5B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2C6CFD3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01FB9A7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C221A01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831B71" w14:paraId="6C8FC4B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F73B63" w14:textId="77777777" w:rsidR="00706B99" w:rsidRPr="00831B7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BAE034F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DC1BCFA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C7B7D0B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878C7A5" w14:textId="77777777" w:rsidR="00706B99" w:rsidRPr="00831B7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831B71" w14:paraId="09493B2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27A1D55" w14:textId="77777777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1C42E1C" w14:textId="2B7481CA" w:rsidR="0044499B" w:rsidRPr="00831B71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39,86%</w:t>
            </w:r>
          </w:p>
        </w:tc>
        <w:tc>
          <w:tcPr>
            <w:tcW w:w="1737" w:type="dxa"/>
            <w:noWrap/>
            <w:vAlign w:val="bottom"/>
          </w:tcPr>
          <w:p w14:paraId="5E298EAF" w14:textId="2FA3F721" w:rsidR="0044499B" w:rsidRPr="00831B71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35,06%</w:t>
            </w:r>
          </w:p>
        </w:tc>
        <w:tc>
          <w:tcPr>
            <w:tcW w:w="1736" w:type="dxa"/>
            <w:noWrap/>
            <w:vAlign w:val="center"/>
          </w:tcPr>
          <w:p w14:paraId="7B53B759" w14:textId="77777777" w:rsidR="0044499B" w:rsidRPr="00831B71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ADD821" w14:textId="77777777" w:rsidR="0044499B" w:rsidRPr="00831B71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96E7CB0" w14:textId="77777777" w:rsidR="00706B99" w:rsidRPr="00831B71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831B71" w14:paraId="63C11F1F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EB25702" w14:textId="77777777" w:rsidR="000B3154" w:rsidRPr="00831B71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1AC0D739" w14:textId="51D583CD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730D63F8" w14:textId="12133245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831B71" w14:paraId="7B466373" w14:textId="77777777" w:rsidTr="006A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02D3D630" w14:textId="509605FE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13CC8E76" w14:textId="2813B0B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27,01%</w:t>
            </w:r>
          </w:p>
        </w:tc>
        <w:tc>
          <w:tcPr>
            <w:tcW w:w="2977" w:type="dxa"/>
            <w:vAlign w:val="bottom"/>
          </w:tcPr>
          <w:p w14:paraId="2981FFFD" w14:textId="166F8E4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22,26%</w:t>
            </w:r>
          </w:p>
        </w:tc>
      </w:tr>
      <w:tr w:rsidR="0044499B" w:rsidRPr="00831B71" w14:paraId="090D40FF" w14:textId="77777777" w:rsidTr="006A480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6622B1C" w14:textId="33EBE2B0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0F1CC696" w14:textId="50B261A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35,07%</w:t>
            </w:r>
          </w:p>
        </w:tc>
        <w:tc>
          <w:tcPr>
            <w:tcW w:w="2977" w:type="dxa"/>
            <w:vAlign w:val="bottom"/>
          </w:tcPr>
          <w:p w14:paraId="5DFB342B" w14:textId="665858E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30,75%</w:t>
            </w:r>
          </w:p>
        </w:tc>
      </w:tr>
    </w:tbl>
    <w:p w14:paraId="5C833546" w14:textId="77777777" w:rsidR="00706B99" w:rsidRPr="00831B71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831B71" w14:paraId="75F50EC8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09FB8F0" w14:textId="77777777" w:rsidR="000B3154" w:rsidRPr="00831B71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7A86A859" w14:textId="090284C9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AF56462" w14:textId="3F53474B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5318B56E" w14:textId="77777777" w:rsidR="000B3154" w:rsidRPr="00831B71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Variazione</w:t>
            </w:r>
          </w:p>
        </w:tc>
      </w:tr>
      <w:tr w:rsidR="0044499B" w:rsidRPr="00831B71" w14:paraId="5AE4F60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5544F5FB" w14:textId="77777777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Contratti totali</w:t>
            </w:r>
          </w:p>
        </w:tc>
        <w:tc>
          <w:tcPr>
            <w:tcW w:w="2192" w:type="dxa"/>
            <w:vAlign w:val="bottom"/>
          </w:tcPr>
          <w:p w14:paraId="519D8A9B" w14:textId="241F637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4.111.534</w:t>
            </w:r>
          </w:p>
        </w:tc>
        <w:tc>
          <w:tcPr>
            <w:tcW w:w="2460" w:type="dxa"/>
            <w:vAlign w:val="bottom"/>
          </w:tcPr>
          <w:p w14:paraId="23DB2FC8" w14:textId="6337AFA9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3.115.834</w:t>
            </w:r>
          </w:p>
        </w:tc>
        <w:tc>
          <w:tcPr>
            <w:tcW w:w="2259" w:type="dxa"/>
            <w:vAlign w:val="bottom"/>
          </w:tcPr>
          <w:p w14:paraId="2AC4CC79" w14:textId="6A5AC1A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31,96%</w:t>
            </w:r>
          </w:p>
        </w:tc>
      </w:tr>
      <w:tr w:rsidR="0044499B" w:rsidRPr="00831B71" w14:paraId="2D6CEE10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CBE591C" w14:textId="19837E95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4D6D4B5B" w14:textId="36C42D0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609.016</w:t>
            </w:r>
          </w:p>
        </w:tc>
        <w:tc>
          <w:tcPr>
            <w:tcW w:w="2460" w:type="dxa"/>
            <w:vAlign w:val="bottom"/>
          </w:tcPr>
          <w:p w14:paraId="74F0C722" w14:textId="1EFFA3E8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488.992</w:t>
            </w:r>
          </w:p>
        </w:tc>
        <w:tc>
          <w:tcPr>
            <w:tcW w:w="2259" w:type="dxa"/>
            <w:vAlign w:val="bottom"/>
          </w:tcPr>
          <w:p w14:paraId="541464D4" w14:textId="503FD0A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24,55%</w:t>
            </w:r>
          </w:p>
        </w:tc>
      </w:tr>
      <w:tr w:rsidR="0044499B" w:rsidRPr="00831B71" w14:paraId="7FDAE3C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6F59582" w14:textId="77777777" w:rsidR="0044499B" w:rsidRPr="00831B7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31B71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567570D2" w14:textId="3B335FB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6,75</w:t>
            </w:r>
          </w:p>
        </w:tc>
        <w:tc>
          <w:tcPr>
            <w:tcW w:w="2460" w:type="dxa"/>
            <w:vAlign w:val="bottom"/>
          </w:tcPr>
          <w:p w14:paraId="727604E6" w14:textId="3CEAF3C6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6,37</w:t>
            </w:r>
          </w:p>
        </w:tc>
        <w:tc>
          <w:tcPr>
            <w:tcW w:w="2259" w:type="dxa"/>
            <w:vAlign w:val="bottom"/>
          </w:tcPr>
          <w:p w14:paraId="34A6D8E0" w14:textId="77777777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B62859F" w14:textId="77777777" w:rsidR="00706B99" w:rsidRPr="00B2004F" w:rsidRDefault="00706B99" w:rsidP="00706B99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OPZIONI SU AZIONI </w:t>
      </w:r>
      <w:r w:rsidR="00BB40C2">
        <w:rPr>
          <w:color w:val="4F81BD" w:themeColor="accent1"/>
        </w:rPr>
        <w:t xml:space="preserve">- </w:t>
      </w:r>
      <w:r>
        <w:rPr>
          <w:color w:val="4F81BD" w:themeColor="accent1"/>
        </w:rPr>
        <w:t xml:space="preserve">CONTRATTI TOTALI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</w:t>
      </w:r>
    </w:p>
    <w:p w14:paraId="5DACDD55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104051" w14:paraId="3382AC2F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BB3E50A" w14:textId="77777777" w:rsidR="00A635A4" w:rsidRPr="00104051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4F667E55" w14:textId="1FD51C0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2A096A95" w14:textId="16FFFF3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64A9897" w14:textId="6220205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08BE4AD0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699C0B4" w14:textId="0748B79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104051" w14:paraId="66D84C7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14450A" w14:textId="389D25A5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1FA972CB" w14:textId="7FB9F5D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8,75%</w:t>
            </w:r>
          </w:p>
        </w:tc>
        <w:tc>
          <w:tcPr>
            <w:tcW w:w="1737" w:type="dxa"/>
            <w:noWrap/>
            <w:vAlign w:val="bottom"/>
          </w:tcPr>
          <w:p w14:paraId="42A58746" w14:textId="1C1A381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5,73%</w:t>
            </w:r>
          </w:p>
        </w:tc>
        <w:tc>
          <w:tcPr>
            <w:tcW w:w="1736" w:type="dxa"/>
            <w:noWrap/>
            <w:vAlign w:val="bottom"/>
          </w:tcPr>
          <w:p w14:paraId="634364BD" w14:textId="34E5A5B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3,02%</w:t>
            </w:r>
          </w:p>
        </w:tc>
        <w:tc>
          <w:tcPr>
            <w:tcW w:w="1737" w:type="dxa"/>
            <w:noWrap/>
            <w:vAlign w:val="bottom"/>
          </w:tcPr>
          <w:p w14:paraId="2B7C9E79" w14:textId="69141B0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104051" w14:paraId="5F4C692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F965A4" w14:textId="435DAD7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4BD0F36" w14:textId="7BD38FF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5,96%</w:t>
            </w:r>
          </w:p>
        </w:tc>
        <w:tc>
          <w:tcPr>
            <w:tcW w:w="1737" w:type="dxa"/>
            <w:noWrap/>
            <w:vAlign w:val="bottom"/>
          </w:tcPr>
          <w:p w14:paraId="63FD3ACB" w14:textId="7E477868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5,31%</w:t>
            </w:r>
          </w:p>
        </w:tc>
        <w:tc>
          <w:tcPr>
            <w:tcW w:w="1736" w:type="dxa"/>
            <w:noWrap/>
            <w:vAlign w:val="bottom"/>
          </w:tcPr>
          <w:p w14:paraId="04C57616" w14:textId="16E3211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7" w:type="dxa"/>
            <w:noWrap/>
            <w:vAlign w:val="bottom"/>
          </w:tcPr>
          <w:p w14:paraId="264FD288" w14:textId="2279848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104051" w14:paraId="48E4C17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6AA40F" w14:textId="2ADE6E69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43249157" w14:textId="323E888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5,45%</w:t>
            </w:r>
          </w:p>
        </w:tc>
        <w:tc>
          <w:tcPr>
            <w:tcW w:w="1737" w:type="dxa"/>
            <w:noWrap/>
            <w:vAlign w:val="bottom"/>
          </w:tcPr>
          <w:p w14:paraId="6CE891CA" w14:textId="2408DA2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6,04%</w:t>
            </w:r>
          </w:p>
        </w:tc>
        <w:tc>
          <w:tcPr>
            <w:tcW w:w="1736" w:type="dxa"/>
            <w:noWrap/>
            <w:vAlign w:val="bottom"/>
          </w:tcPr>
          <w:p w14:paraId="312DF4C2" w14:textId="02A67AC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-0,58%</w:t>
            </w:r>
          </w:p>
        </w:tc>
        <w:tc>
          <w:tcPr>
            <w:tcW w:w="1737" w:type="dxa"/>
            <w:noWrap/>
            <w:vAlign w:val="bottom"/>
          </w:tcPr>
          <w:p w14:paraId="4B13926A" w14:textId="47C06E3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104051" w14:paraId="634AECE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DF3E6A" w14:textId="3C504876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16A1ADC" w14:textId="6EF8AE9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3,59%</w:t>
            </w:r>
          </w:p>
        </w:tc>
        <w:tc>
          <w:tcPr>
            <w:tcW w:w="1737" w:type="dxa"/>
            <w:noWrap/>
            <w:vAlign w:val="bottom"/>
          </w:tcPr>
          <w:p w14:paraId="4E954628" w14:textId="554F650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3,80%</w:t>
            </w:r>
          </w:p>
        </w:tc>
        <w:tc>
          <w:tcPr>
            <w:tcW w:w="1736" w:type="dxa"/>
            <w:noWrap/>
            <w:vAlign w:val="bottom"/>
          </w:tcPr>
          <w:p w14:paraId="4FB15D5F" w14:textId="61E4573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-0,21%</w:t>
            </w:r>
          </w:p>
        </w:tc>
        <w:tc>
          <w:tcPr>
            <w:tcW w:w="1737" w:type="dxa"/>
            <w:noWrap/>
            <w:vAlign w:val="bottom"/>
          </w:tcPr>
          <w:p w14:paraId="6257F47B" w14:textId="0FF2113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104051" w14:paraId="4F56C21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6F01B4" w14:textId="548AAAEA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59A14189" w14:textId="66CBC79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3,38%</w:t>
            </w:r>
          </w:p>
        </w:tc>
        <w:tc>
          <w:tcPr>
            <w:tcW w:w="1737" w:type="dxa"/>
            <w:noWrap/>
            <w:vAlign w:val="bottom"/>
          </w:tcPr>
          <w:p w14:paraId="1A5C1B3C" w14:textId="32B5045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2,22%</w:t>
            </w:r>
          </w:p>
        </w:tc>
        <w:tc>
          <w:tcPr>
            <w:tcW w:w="1736" w:type="dxa"/>
            <w:noWrap/>
            <w:vAlign w:val="bottom"/>
          </w:tcPr>
          <w:p w14:paraId="5A8D86F1" w14:textId="6574233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7" w:type="dxa"/>
            <w:noWrap/>
            <w:vAlign w:val="bottom"/>
          </w:tcPr>
          <w:p w14:paraId="027EA398" w14:textId="3377FC3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104051" w14:paraId="42C7AAB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614F04" w14:textId="1D14119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062128B2" w14:textId="25F3A38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3,34%</w:t>
            </w:r>
          </w:p>
        </w:tc>
        <w:tc>
          <w:tcPr>
            <w:tcW w:w="1737" w:type="dxa"/>
            <w:noWrap/>
            <w:vAlign w:val="bottom"/>
          </w:tcPr>
          <w:p w14:paraId="4122D8C8" w14:textId="0ED4309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3,21%</w:t>
            </w:r>
          </w:p>
        </w:tc>
        <w:tc>
          <w:tcPr>
            <w:tcW w:w="1736" w:type="dxa"/>
            <w:noWrap/>
            <w:vAlign w:val="bottom"/>
          </w:tcPr>
          <w:p w14:paraId="70E33942" w14:textId="7D5877C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5818998D" w14:textId="45F706B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499B" w:rsidRPr="00104051" w14:paraId="7F9D9A1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EDD973" w14:textId="30C9B85B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FBBBA83" w14:textId="45B24A0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2,61%</w:t>
            </w:r>
          </w:p>
        </w:tc>
        <w:tc>
          <w:tcPr>
            <w:tcW w:w="1737" w:type="dxa"/>
            <w:noWrap/>
            <w:vAlign w:val="bottom"/>
          </w:tcPr>
          <w:p w14:paraId="1FEF141A" w14:textId="63CEFFF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3,19%</w:t>
            </w:r>
          </w:p>
        </w:tc>
        <w:tc>
          <w:tcPr>
            <w:tcW w:w="1736" w:type="dxa"/>
            <w:noWrap/>
            <w:vAlign w:val="bottom"/>
          </w:tcPr>
          <w:p w14:paraId="31E2E697" w14:textId="173F095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-0,58%</w:t>
            </w:r>
          </w:p>
        </w:tc>
        <w:tc>
          <w:tcPr>
            <w:tcW w:w="1737" w:type="dxa"/>
            <w:noWrap/>
            <w:vAlign w:val="bottom"/>
          </w:tcPr>
          <w:p w14:paraId="68B4EAB9" w14:textId="685526B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104051" w14:paraId="679B782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2C565D" w14:textId="25BA2BF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2BFA260C" w14:textId="7235907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2,16%</w:t>
            </w:r>
          </w:p>
        </w:tc>
        <w:tc>
          <w:tcPr>
            <w:tcW w:w="1737" w:type="dxa"/>
            <w:noWrap/>
            <w:vAlign w:val="bottom"/>
          </w:tcPr>
          <w:p w14:paraId="3692624B" w14:textId="0BF55C5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1,89%</w:t>
            </w:r>
          </w:p>
        </w:tc>
        <w:tc>
          <w:tcPr>
            <w:tcW w:w="1736" w:type="dxa"/>
            <w:noWrap/>
            <w:vAlign w:val="bottom"/>
          </w:tcPr>
          <w:p w14:paraId="28D1991C" w14:textId="5EE32C6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0BEB940D" w14:textId="4C2C106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104051" w14:paraId="4DDC73F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5CA025" w14:textId="517D880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46788594" w14:textId="57D9054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2,07%</w:t>
            </w:r>
          </w:p>
        </w:tc>
        <w:tc>
          <w:tcPr>
            <w:tcW w:w="1737" w:type="dxa"/>
            <w:noWrap/>
            <w:vAlign w:val="bottom"/>
          </w:tcPr>
          <w:p w14:paraId="18A96C50" w14:textId="3BAC7B9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1,47%</w:t>
            </w:r>
          </w:p>
        </w:tc>
        <w:tc>
          <w:tcPr>
            <w:tcW w:w="1736" w:type="dxa"/>
            <w:noWrap/>
            <w:vAlign w:val="bottom"/>
          </w:tcPr>
          <w:p w14:paraId="36AD01F8" w14:textId="630E20E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7" w:type="dxa"/>
            <w:noWrap/>
            <w:vAlign w:val="bottom"/>
          </w:tcPr>
          <w:p w14:paraId="263156D2" w14:textId="3012127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104051" w14:paraId="6222B16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59444A" w14:textId="405B4E6D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049D8CE6" w14:textId="09DC745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1,93%</w:t>
            </w:r>
          </w:p>
        </w:tc>
        <w:tc>
          <w:tcPr>
            <w:tcW w:w="1737" w:type="dxa"/>
            <w:noWrap/>
            <w:vAlign w:val="bottom"/>
          </w:tcPr>
          <w:p w14:paraId="2B330802" w14:textId="696888D8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2,96%</w:t>
            </w:r>
          </w:p>
        </w:tc>
        <w:tc>
          <w:tcPr>
            <w:tcW w:w="1736" w:type="dxa"/>
            <w:noWrap/>
            <w:vAlign w:val="bottom"/>
          </w:tcPr>
          <w:p w14:paraId="5FC6EDE5" w14:textId="6A56B2BD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-1,03%</w:t>
            </w:r>
          </w:p>
        </w:tc>
        <w:tc>
          <w:tcPr>
            <w:tcW w:w="1737" w:type="dxa"/>
            <w:noWrap/>
            <w:vAlign w:val="bottom"/>
          </w:tcPr>
          <w:p w14:paraId="6DA15ABB" w14:textId="1B13E88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104051" w14:paraId="081D28A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FC3419" w14:textId="65CD7F0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1679D11" w14:textId="178E270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1,03%</w:t>
            </w:r>
          </w:p>
        </w:tc>
        <w:tc>
          <w:tcPr>
            <w:tcW w:w="1737" w:type="dxa"/>
            <w:noWrap/>
            <w:vAlign w:val="bottom"/>
          </w:tcPr>
          <w:p w14:paraId="0F0163EE" w14:textId="437BECF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6" w:type="dxa"/>
            <w:noWrap/>
            <w:vAlign w:val="bottom"/>
          </w:tcPr>
          <w:p w14:paraId="43635144" w14:textId="043EAD2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-0,21%</w:t>
            </w:r>
          </w:p>
        </w:tc>
        <w:tc>
          <w:tcPr>
            <w:tcW w:w="1737" w:type="dxa"/>
            <w:noWrap/>
            <w:vAlign w:val="bottom"/>
          </w:tcPr>
          <w:p w14:paraId="54317332" w14:textId="738485F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104051" w14:paraId="7B1C342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AE0A5A" w14:textId="3E13DFF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CCFFD8D" w14:textId="1B84108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7" w:type="dxa"/>
            <w:noWrap/>
            <w:vAlign w:val="bottom"/>
          </w:tcPr>
          <w:p w14:paraId="023F08C8" w14:textId="347ABFF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1,87%</w:t>
            </w:r>
          </w:p>
        </w:tc>
        <w:tc>
          <w:tcPr>
            <w:tcW w:w="1736" w:type="dxa"/>
            <w:noWrap/>
            <w:vAlign w:val="bottom"/>
          </w:tcPr>
          <w:p w14:paraId="47408C31" w14:textId="6422638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-0,86%</w:t>
            </w:r>
          </w:p>
        </w:tc>
        <w:tc>
          <w:tcPr>
            <w:tcW w:w="1737" w:type="dxa"/>
            <w:noWrap/>
            <w:vAlign w:val="bottom"/>
          </w:tcPr>
          <w:p w14:paraId="124EFBBD" w14:textId="1651303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4499B" w:rsidRPr="00104051" w14:paraId="6282BE0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09F312" w14:textId="43B3D00D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CBEBBDB" w14:textId="6441584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0C396A86" w14:textId="39E4F95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0,84%</w:t>
            </w:r>
          </w:p>
        </w:tc>
        <w:tc>
          <w:tcPr>
            <w:tcW w:w="1736" w:type="dxa"/>
            <w:noWrap/>
            <w:vAlign w:val="bottom"/>
          </w:tcPr>
          <w:p w14:paraId="11B83F5E" w14:textId="203EF62C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6463C4D3" w14:textId="2A76AED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104051" w14:paraId="7D2CC48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C0D12F" w14:textId="261EDC3B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1C25CC39" w14:textId="08F380A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0,67%</w:t>
            </w:r>
          </w:p>
        </w:tc>
        <w:tc>
          <w:tcPr>
            <w:tcW w:w="1737" w:type="dxa"/>
            <w:noWrap/>
            <w:vAlign w:val="bottom"/>
          </w:tcPr>
          <w:p w14:paraId="71185981" w14:textId="009B498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1,83%</w:t>
            </w:r>
          </w:p>
        </w:tc>
        <w:tc>
          <w:tcPr>
            <w:tcW w:w="1736" w:type="dxa"/>
            <w:noWrap/>
            <w:vAlign w:val="bottom"/>
          </w:tcPr>
          <w:p w14:paraId="4E2EAFE9" w14:textId="605FB49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-1,16%</w:t>
            </w:r>
          </w:p>
        </w:tc>
        <w:tc>
          <w:tcPr>
            <w:tcW w:w="1737" w:type="dxa"/>
            <w:noWrap/>
            <w:vAlign w:val="bottom"/>
          </w:tcPr>
          <w:p w14:paraId="701F55D5" w14:textId="52A0508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104051" w14:paraId="65C9B0A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97DAFA4" w14:textId="6B3D8B5A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25C7ECA3" w14:textId="3317ECC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7" w:type="dxa"/>
            <w:noWrap/>
            <w:vAlign w:val="bottom"/>
          </w:tcPr>
          <w:p w14:paraId="01CDFCB0" w14:textId="37E2D26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5663ACC0" w14:textId="13AF746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-0,27%</w:t>
            </w:r>
          </w:p>
        </w:tc>
        <w:tc>
          <w:tcPr>
            <w:tcW w:w="1737" w:type="dxa"/>
            <w:noWrap/>
            <w:vAlign w:val="bottom"/>
          </w:tcPr>
          <w:p w14:paraId="48E72029" w14:textId="4D11F80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104051" w14:paraId="1D87AD8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8A6510" w14:textId="4564DF23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2953D65A" w14:textId="49D11D3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7" w:type="dxa"/>
            <w:noWrap/>
            <w:vAlign w:val="bottom"/>
          </w:tcPr>
          <w:p w14:paraId="105315BD" w14:textId="765A256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6" w:type="dxa"/>
            <w:noWrap/>
            <w:vAlign w:val="bottom"/>
          </w:tcPr>
          <w:p w14:paraId="5E759B5F" w14:textId="7B5A1EF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60D66FB0" w14:textId="4B6299E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44499B" w:rsidRPr="00104051" w14:paraId="08D91B9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18A772" w14:textId="20B751B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1DCC257" w14:textId="33C5C92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4D185C3F" w14:textId="45C3569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6" w:type="dxa"/>
            <w:noWrap/>
            <w:vAlign w:val="bottom"/>
          </w:tcPr>
          <w:p w14:paraId="3A97B228" w14:textId="71DE45E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7" w:type="dxa"/>
            <w:noWrap/>
            <w:vAlign w:val="bottom"/>
          </w:tcPr>
          <w:p w14:paraId="689A7721" w14:textId="772DC28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4499B" w:rsidRPr="00104051" w14:paraId="0828DDD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0400DE" w14:textId="318DAE9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10A2010B" w14:textId="2370553D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320EC5E9" w14:textId="2782D25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6" w:type="dxa"/>
            <w:noWrap/>
            <w:vAlign w:val="bottom"/>
          </w:tcPr>
          <w:p w14:paraId="7BCB36FC" w14:textId="60CC0A8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-1,70%</w:t>
            </w:r>
          </w:p>
        </w:tc>
        <w:tc>
          <w:tcPr>
            <w:tcW w:w="1737" w:type="dxa"/>
            <w:noWrap/>
            <w:vAlign w:val="bottom"/>
          </w:tcPr>
          <w:p w14:paraId="3E095C5B" w14:textId="0EBCBC5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104051" w14:paraId="548B8FD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D2245E" w14:textId="7992A454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2C9FFA4" w14:textId="09B7305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4A611A15" w14:textId="53C63CF7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0,32%</w:t>
            </w:r>
          </w:p>
        </w:tc>
        <w:tc>
          <w:tcPr>
            <w:tcW w:w="1736" w:type="dxa"/>
            <w:noWrap/>
            <w:vAlign w:val="bottom"/>
          </w:tcPr>
          <w:p w14:paraId="0A3279DD" w14:textId="771DB4E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4D79CBC8" w14:textId="49B1242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44499B" w:rsidRPr="00104051" w14:paraId="0ADDEA4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1A49A8" w14:textId="2BC5F013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08872FE" w14:textId="6397C9F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1DB0669F" w14:textId="512AEF8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135DAE44" w14:textId="7732F03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0BF32BA4" w14:textId="7837663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4499B" w:rsidRPr="00104051" w14:paraId="2386387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707183" w14:textId="005866C2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3ABFADBE" w14:textId="5A6AC4D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6679354D" w14:textId="4D0D637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6" w:type="dxa"/>
            <w:noWrap/>
            <w:vAlign w:val="bottom"/>
          </w:tcPr>
          <w:p w14:paraId="52FEBEA9" w14:textId="15AC9BE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-0,30%</w:t>
            </w:r>
          </w:p>
        </w:tc>
        <w:tc>
          <w:tcPr>
            <w:tcW w:w="1737" w:type="dxa"/>
            <w:noWrap/>
            <w:vAlign w:val="bottom"/>
          </w:tcPr>
          <w:p w14:paraId="11E5449F" w14:textId="19E69D9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4499B" w:rsidRPr="00104051" w14:paraId="4CC19B9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F31099D" w14:textId="6882E3EA" w:rsidR="0044499B" w:rsidRPr="00510D9B" w:rsidRDefault="0044499B" w:rsidP="0044499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74ACAD0" w14:textId="6B41323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B53744B" w14:textId="3C3F80E9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BA115D8" w14:textId="02E1F3AA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DCFECF1" w14:textId="454F00E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104051" w14:paraId="6838EFD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79BE20" w14:textId="5755F640" w:rsidR="007154AA" w:rsidRPr="00510D9B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B7FB128" w14:textId="609BE2BA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CBC3C13" w14:textId="4D1CB015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C597825" w14:textId="77713575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F631C14" w14:textId="21B6A8AA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104051" w14:paraId="50D89C3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555335" w14:textId="77777777" w:rsidR="007154AA" w:rsidRPr="00104051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3660520" w14:textId="5FCA2C67" w:rsidR="007154AA" w:rsidRPr="0010405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BDF739E" w14:textId="4F433161" w:rsidR="007154AA" w:rsidRPr="0010405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66349D2" w14:textId="77777777" w:rsidR="007154AA" w:rsidRPr="0010405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A13B377" w14:textId="77777777" w:rsidR="007154AA" w:rsidRPr="00104051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104051" w14:paraId="354E7AB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0EDEED5" w14:textId="77777777" w:rsidR="00510D9B" w:rsidRPr="00104051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2F016BA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FA4C400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EFFF317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C1D90F3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104051" w14:paraId="17F36AD1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EC6A06A" w14:textId="77777777" w:rsidR="00510D9B" w:rsidRPr="00104051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04C57E" w14:textId="25FC61FC" w:rsidR="00510D9B" w:rsidRPr="00510D9B" w:rsidRDefault="00510D9B" w:rsidP="00153419">
            <w:pPr>
              <w:pStyle w:val="Tito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3195B72" w14:textId="1054F309" w:rsidR="00510D9B" w:rsidRPr="00510D9B" w:rsidRDefault="00510D9B" w:rsidP="00153419">
            <w:pPr>
              <w:pStyle w:val="Tito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ED61B19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6DA837E" w14:textId="77777777" w:rsidR="00510D9B" w:rsidRPr="00104051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104051" w14:paraId="0875327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05598EF" w14:textId="77777777" w:rsidR="00706B99" w:rsidRPr="0010405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D8EDD4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328B22A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B47A80F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072723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104051" w14:paraId="6BE7282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31E0DBF" w14:textId="77777777" w:rsidR="00706B99" w:rsidRPr="0010405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021E4D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3510F26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BEC77F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CF847CB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104051" w14:paraId="11F4CEE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DFD936E" w14:textId="77777777" w:rsidR="00706B99" w:rsidRPr="0010405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0D9C48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314E46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3949E49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7891B9A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104051" w14:paraId="6373BD74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7B2DD64" w14:textId="77777777" w:rsidR="00706B99" w:rsidRPr="0010405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3E4453C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740C4AD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AC5C4F6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0220055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104051" w14:paraId="4CCB8C3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A37FFA7" w14:textId="77777777" w:rsidR="00706B99" w:rsidRPr="00104051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15794D2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F4E607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2954B1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A2C77B" w14:textId="77777777" w:rsidR="00706B99" w:rsidRPr="00104051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104051" w14:paraId="23188CF5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7CF09F6" w14:textId="77777777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CBDFAC9" w14:textId="247C470A" w:rsidR="0044499B" w:rsidRPr="00104051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45,28%</w:t>
            </w:r>
          </w:p>
        </w:tc>
        <w:tc>
          <w:tcPr>
            <w:tcW w:w="1737" w:type="dxa"/>
            <w:noWrap/>
            <w:vAlign w:val="bottom"/>
          </w:tcPr>
          <w:p w14:paraId="3F4AB162" w14:textId="4EBE0168" w:rsidR="0044499B" w:rsidRPr="00104051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44,31%</w:t>
            </w:r>
          </w:p>
        </w:tc>
        <w:tc>
          <w:tcPr>
            <w:tcW w:w="1736" w:type="dxa"/>
            <w:noWrap/>
            <w:vAlign w:val="center"/>
          </w:tcPr>
          <w:p w14:paraId="2F83D791" w14:textId="77777777" w:rsidR="0044499B" w:rsidRPr="00104051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FF19CC8" w14:textId="77777777" w:rsidR="0044499B" w:rsidRPr="00104051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FE466D8" w14:textId="77777777" w:rsidR="00706B99" w:rsidRPr="00104051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104051" w14:paraId="02E8792E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84A767C" w14:textId="77777777" w:rsidR="000B3154" w:rsidRPr="00104051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5BB0635D" w14:textId="3C1C7185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18E0CB6B" w14:textId="53EBD706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104051" w14:paraId="3C9BE3F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B7D7AC2" w14:textId="45700292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07DB1BEE" w14:textId="4D59AD9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27,14%</w:t>
            </w:r>
          </w:p>
        </w:tc>
        <w:tc>
          <w:tcPr>
            <w:tcW w:w="2977" w:type="dxa"/>
            <w:vAlign w:val="bottom"/>
          </w:tcPr>
          <w:p w14:paraId="7BCB2D75" w14:textId="0465C25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24,09%</w:t>
            </w:r>
          </w:p>
        </w:tc>
      </w:tr>
      <w:tr w:rsidR="0044499B" w:rsidRPr="00104051" w14:paraId="26ACF3BE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384EA9F" w14:textId="68728B06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5D29AD94" w14:textId="4EDE465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39,24%</w:t>
            </w:r>
          </w:p>
        </w:tc>
        <w:tc>
          <w:tcPr>
            <w:tcW w:w="2977" w:type="dxa"/>
            <w:vAlign w:val="bottom"/>
          </w:tcPr>
          <w:p w14:paraId="22F4DC1C" w14:textId="403C9E2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36,43%</w:t>
            </w:r>
          </w:p>
        </w:tc>
      </w:tr>
    </w:tbl>
    <w:p w14:paraId="540F8422" w14:textId="77777777" w:rsidR="00706B99" w:rsidRPr="00104051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104051" w14:paraId="407051A0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724CEA75" w14:textId="77777777" w:rsidR="000B3154" w:rsidRPr="00104051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0BCB901B" w14:textId="11E17C05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1B640A31" w14:textId="78468803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67E7BDFC" w14:textId="77777777" w:rsidR="000B3154" w:rsidRPr="00104051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Variazione</w:t>
            </w:r>
          </w:p>
        </w:tc>
      </w:tr>
      <w:tr w:rsidR="0044499B" w:rsidRPr="00104051" w14:paraId="5F33069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FF8423D" w14:textId="77777777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Contratti totali</w:t>
            </w:r>
          </w:p>
        </w:tc>
        <w:tc>
          <w:tcPr>
            <w:tcW w:w="2192" w:type="dxa"/>
            <w:vAlign w:val="bottom"/>
          </w:tcPr>
          <w:p w14:paraId="6211F334" w14:textId="66433FD0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20.563.949</w:t>
            </w:r>
          </w:p>
        </w:tc>
        <w:tc>
          <w:tcPr>
            <w:tcW w:w="2460" w:type="dxa"/>
            <w:vAlign w:val="bottom"/>
          </w:tcPr>
          <w:p w14:paraId="65ABF1F2" w14:textId="3CF3F045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22.940.276</w:t>
            </w:r>
          </w:p>
        </w:tc>
        <w:tc>
          <w:tcPr>
            <w:tcW w:w="2259" w:type="dxa"/>
            <w:vAlign w:val="bottom"/>
          </w:tcPr>
          <w:p w14:paraId="106DCBE0" w14:textId="75555B8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-10,36%</w:t>
            </w:r>
          </w:p>
        </w:tc>
      </w:tr>
      <w:tr w:rsidR="0044499B" w:rsidRPr="00104051" w14:paraId="655E495C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391EF15" w14:textId="2D31C324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508DD2FE" w14:textId="66A47F4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496.965</w:t>
            </w:r>
          </w:p>
        </w:tc>
        <w:tc>
          <w:tcPr>
            <w:tcW w:w="2460" w:type="dxa"/>
            <w:vAlign w:val="bottom"/>
          </w:tcPr>
          <w:p w14:paraId="6BE4365C" w14:textId="4FB3230D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558.146</w:t>
            </w:r>
          </w:p>
        </w:tc>
        <w:tc>
          <w:tcPr>
            <w:tcW w:w="2259" w:type="dxa"/>
            <w:vAlign w:val="bottom"/>
          </w:tcPr>
          <w:p w14:paraId="2D064A54" w14:textId="2654914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-10,96%</w:t>
            </w:r>
          </w:p>
        </w:tc>
      </w:tr>
      <w:tr w:rsidR="0044499B" w:rsidRPr="00104051" w14:paraId="0D5A145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D314E3F" w14:textId="77777777" w:rsidR="0044499B" w:rsidRPr="00104051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104051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1793C272" w14:textId="1556055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41,38</w:t>
            </w:r>
          </w:p>
        </w:tc>
        <w:tc>
          <w:tcPr>
            <w:tcW w:w="2460" w:type="dxa"/>
            <w:vAlign w:val="bottom"/>
          </w:tcPr>
          <w:p w14:paraId="1A975720" w14:textId="2016DAEE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41,10</w:t>
            </w:r>
          </w:p>
        </w:tc>
        <w:tc>
          <w:tcPr>
            <w:tcW w:w="2259" w:type="dxa"/>
            <w:vAlign w:val="bottom"/>
          </w:tcPr>
          <w:p w14:paraId="3AF61395" w14:textId="77777777" w:rsidR="0044499B" w:rsidRPr="00510D9B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3CC40CD" w14:textId="77777777" w:rsidR="00706B99" w:rsidRPr="00B2004F" w:rsidRDefault="00706B99" w:rsidP="00706B99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B2004F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FUTURES SU AZIONI </w:t>
      </w:r>
      <w:r w:rsidR="00BB40C2">
        <w:rPr>
          <w:color w:val="4F81BD" w:themeColor="accent1"/>
        </w:rPr>
        <w:t xml:space="preserve">- </w:t>
      </w:r>
      <w:r>
        <w:rPr>
          <w:color w:val="4F81BD" w:themeColor="accent1"/>
        </w:rPr>
        <w:t xml:space="preserve">CONTRATTI TOTALI </w:t>
      </w:r>
      <w:r w:rsidRPr="004251B7">
        <w:rPr>
          <w:color w:val="4F81BD" w:themeColor="accent1"/>
        </w:rPr>
        <w:t>NEGOZIATI</w:t>
      </w:r>
      <w:r w:rsidRPr="0025586E">
        <w:rPr>
          <w:color w:val="4F81BD" w:themeColor="accent1"/>
        </w:rPr>
        <w:t xml:space="preserve"> </w:t>
      </w:r>
    </w:p>
    <w:p w14:paraId="5DDECC77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CE1888" w14:paraId="6FF00E5F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756E2D2" w14:textId="77777777" w:rsidR="00A635A4" w:rsidRPr="00CE188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B487A36" w14:textId="2CC16EC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56856759" w14:textId="3A6D813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56DA9361" w14:textId="6161272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0D7BDC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4140D9CB" w14:textId="3F9868F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4499B" w:rsidRPr="00CE1888" w14:paraId="303ADEF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64333E" w14:textId="7240D00B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0A0EBE8C" w14:textId="3B7A365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5,40%</w:t>
            </w:r>
          </w:p>
        </w:tc>
        <w:tc>
          <w:tcPr>
            <w:tcW w:w="1737" w:type="dxa"/>
            <w:noWrap/>
            <w:vAlign w:val="bottom"/>
          </w:tcPr>
          <w:p w14:paraId="72B0BF59" w14:textId="5A83D40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1,27%</w:t>
            </w:r>
          </w:p>
        </w:tc>
        <w:tc>
          <w:tcPr>
            <w:tcW w:w="1736" w:type="dxa"/>
            <w:noWrap/>
            <w:vAlign w:val="bottom"/>
          </w:tcPr>
          <w:p w14:paraId="01A9A5E8" w14:textId="0E69759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4,13%</w:t>
            </w:r>
          </w:p>
        </w:tc>
        <w:tc>
          <w:tcPr>
            <w:tcW w:w="1737" w:type="dxa"/>
            <w:noWrap/>
            <w:vAlign w:val="bottom"/>
          </w:tcPr>
          <w:p w14:paraId="644E7066" w14:textId="7ED02CE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499B" w:rsidRPr="00CE1888" w14:paraId="670F862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D884381" w14:textId="13571247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F929849" w14:textId="0E64F38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4,10%</w:t>
            </w:r>
          </w:p>
        </w:tc>
        <w:tc>
          <w:tcPr>
            <w:tcW w:w="1737" w:type="dxa"/>
            <w:noWrap/>
            <w:vAlign w:val="bottom"/>
          </w:tcPr>
          <w:p w14:paraId="45E8FBFD" w14:textId="51E0462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2,41%</w:t>
            </w:r>
          </w:p>
        </w:tc>
        <w:tc>
          <w:tcPr>
            <w:tcW w:w="1736" w:type="dxa"/>
            <w:noWrap/>
            <w:vAlign w:val="bottom"/>
          </w:tcPr>
          <w:p w14:paraId="16180017" w14:textId="23F14A6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1,69%</w:t>
            </w:r>
          </w:p>
        </w:tc>
        <w:tc>
          <w:tcPr>
            <w:tcW w:w="1737" w:type="dxa"/>
            <w:noWrap/>
            <w:vAlign w:val="bottom"/>
          </w:tcPr>
          <w:p w14:paraId="31C82A67" w14:textId="7ABEFB6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499B" w:rsidRPr="00CE1888" w14:paraId="1D47172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9ABD71" w14:textId="0BC0411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0627D22" w14:textId="698CF32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3,78%</w:t>
            </w:r>
          </w:p>
        </w:tc>
        <w:tc>
          <w:tcPr>
            <w:tcW w:w="1737" w:type="dxa"/>
            <w:noWrap/>
            <w:vAlign w:val="bottom"/>
          </w:tcPr>
          <w:p w14:paraId="7D673619" w14:textId="5F581D8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3,10%</w:t>
            </w:r>
          </w:p>
        </w:tc>
        <w:tc>
          <w:tcPr>
            <w:tcW w:w="1736" w:type="dxa"/>
            <w:noWrap/>
            <w:vAlign w:val="bottom"/>
          </w:tcPr>
          <w:p w14:paraId="7B93587C" w14:textId="52722E3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5EB6938B" w14:textId="0162FFB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499B" w:rsidRPr="00CE1888" w14:paraId="70BA015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B4F52CF" w14:textId="4DF806B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3D28B8C6" w14:textId="3F27478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1,13%</w:t>
            </w:r>
          </w:p>
        </w:tc>
        <w:tc>
          <w:tcPr>
            <w:tcW w:w="1737" w:type="dxa"/>
            <w:noWrap/>
            <w:vAlign w:val="bottom"/>
          </w:tcPr>
          <w:p w14:paraId="5E455B25" w14:textId="60F07E5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25C684C4" w14:textId="052C4141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1,07%</w:t>
            </w:r>
          </w:p>
        </w:tc>
        <w:tc>
          <w:tcPr>
            <w:tcW w:w="1737" w:type="dxa"/>
            <w:noWrap/>
            <w:vAlign w:val="bottom"/>
          </w:tcPr>
          <w:p w14:paraId="4BE02360" w14:textId="0DD0061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4499B" w:rsidRPr="00CE1888" w14:paraId="1360F50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D2AD9E" w14:textId="0085C7DF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6F5B4AA8" w14:textId="275155A2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7" w:type="dxa"/>
            <w:noWrap/>
            <w:vAlign w:val="bottom"/>
          </w:tcPr>
          <w:p w14:paraId="1C4BFB15" w14:textId="764EF45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29EC0569" w14:textId="4E01177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5E984A22" w14:textId="1AEF297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499B" w:rsidRPr="00CE1888" w14:paraId="7832289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A434D5" w14:textId="6417B61D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7B8B8074" w14:textId="7CB2739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31CBE15F" w14:textId="650947C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591BD78" w14:textId="3012F0DD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731E9B21" w14:textId="61AF0CC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44499B" w:rsidRPr="00CE1888" w14:paraId="44991DA5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4CF0F8" w14:textId="1389F481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1DC51D28" w14:textId="2E75B3E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2DFC50D0" w14:textId="7483AA36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6" w:type="dxa"/>
            <w:noWrap/>
            <w:vAlign w:val="bottom"/>
          </w:tcPr>
          <w:p w14:paraId="43B507C4" w14:textId="7A25DF23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-0,36%</w:t>
            </w:r>
          </w:p>
        </w:tc>
        <w:tc>
          <w:tcPr>
            <w:tcW w:w="1737" w:type="dxa"/>
            <w:noWrap/>
            <w:vAlign w:val="bottom"/>
          </w:tcPr>
          <w:p w14:paraId="12F7B9A1" w14:textId="19EE35E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4499B" w:rsidRPr="00CE1888" w14:paraId="64BFC2FF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1319B5" w14:textId="6297BACF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14CE1BA2" w14:textId="71E67EB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4206D863" w14:textId="329966A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6" w:type="dxa"/>
            <w:noWrap/>
            <w:vAlign w:val="bottom"/>
          </w:tcPr>
          <w:p w14:paraId="1BA83332" w14:textId="420361C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EC0C7DA" w14:textId="16CB75C6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4499B" w:rsidRPr="00CE1888" w14:paraId="50B4E20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A89172" w14:textId="1671FC4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7CE08FF6" w14:textId="2DE8175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4DFFD07E" w14:textId="3BD465D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69EE62FD" w14:textId="5E54690F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79586F5B" w14:textId="674F50DE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4499B" w:rsidRPr="00CE1888" w14:paraId="62E81DFD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501D01" w14:textId="68DE4E7B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A758FE0" w14:textId="3375ABD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5B1D360D" w14:textId="444EF555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AAF7AF9" w14:textId="242692A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0D6BAA" w14:textId="76D3C84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4499B" w:rsidRPr="00CE1888" w14:paraId="02678A9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D36CD1" w14:textId="35B863C7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3027C12" w14:textId="7DD8A47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015E98FB" w14:textId="7B2ADEB1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6" w:type="dxa"/>
            <w:noWrap/>
            <w:vAlign w:val="bottom"/>
          </w:tcPr>
          <w:p w14:paraId="251F91E1" w14:textId="36AE2E9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-1,20%</w:t>
            </w:r>
          </w:p>
        </w:tc>
        <w:tc>
          <w:tcPr>
            <w:tcW w:w="1737" w:type="dxa"/>
            <w:noWrap/>
            <w:vAlign w:val="bottom"/>
          </w:tcPr>
          <w:p w14:paraId="472C1D29" w14:textId="533E9EFD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4499B" w:rsidRPr="00CE1888" w14:paraId="2DD9BC2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3DB3F3" w14:textId="24662FF8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F2D6858" w14:textId="7F4B11AF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C08B422" w14:textId="7DF2698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74F37715" w14:textId="57C80D2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B2C4ED9" w14:textId="30AE782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4499B" w:rsidRPr="00CE1888" w14:paraId="0A587C7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5146F3A" w14:textId="30442CDC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BFBC0FD" w14:textId="4279D2B5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1427773D" w14:textId="56953AF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49162405" w14:textId="36045EC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170AAE1" w14:textId="60B445CA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4499B" w:rsidRPr="00CE1888" w14:paraId="18E788F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AC9FE6" w14:textId="7EE6463F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C7F2841" w14:textId="6321E65B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5537F617" w14:textId="268F1A7C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5EE8BE33" w14:textId="5AF7D05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1D58F4F" w14:textId="6FFFF2B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4499B" w:rsidRPr="00CE1888" w14:paraId="103DA9E5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7D44B8" w14:textId="490F4C44" w:rsidR="0044499B" w:rsidRPr="00510D9B" w:rsidRDefault="0044499B" w:rsidP="0044499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1C1FF0B" w14:textId="6AEDBB38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A62054F" w14:textId="3D345079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1D72B05F" w14:textId="1B0018FC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3E4EBFA" w14:textId="6DCB4C0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499B" w:rsidRPr="00CE1888" w14:paraId="4A21B3D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8AB6207" w14:textId="18E57D81" w:rsidR="0044499B" w:rsidRPr="00510D9B" w:rsidRDefault="0044499B" w:rsidP="0044499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1DC63FC" w14:textId="080712FE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EF4924B" w14:textId="29AA5EE4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79CEF42" w14:textId="576953C2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A9390AB" w14:textId="7673E6C7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CE1888" w14:paraId="7D1C33B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FDBA32" w14:textId="6B886F48" w:rsidR="007154AA" w:rsidRPr="00510D9B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5DCB746" w14:textId="32953694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F6FF196" w14:textId="694C6395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493FCAE" w14:textId="137775AA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C517C59" w14:textId="310477DF" w:rsidR="007154AA" w:rsidRPr="00510D9B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CE1888" w14:paraId="59CCAE7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DF86445" w14:textId="5917A20F" w:rsidR="00510D9B" w:rsidRPr="00510D9B" w:rsidRDefault="00510D9B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2B89D9" w14:textId="38275C95" w:rsidR="00510D9B" w:rsidRPr="00510D9B" w:rsidRDefault="00510D9B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A54416C" w14:textId="6B9E6F79" w:rsidR="00510D9B" w:rsidRPr="00510D9B" w:rsidRDefault="00510D9B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5E7BD0" w14:textId="6EB9DE9F" w:rsidR="00510D9B" w:rsidRPr="00510D9B" w:rsidRDefault="00510D9B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C0C184" w14:textId="6C21FB7D" w:rsidR="00510D9B" w:rsidRPr="00510D9B" w:rsidRDefault="00510D9B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CE1888" w14:paraId="5FA20F7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C4D9F9D" w14:textId="45452355" w:rsidR="00510D9B" w:rsidRPr="00510D9B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8F10D18" w14:textId="226985F7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290415E" w14:textId="6F86D36A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2858FC" w14:textId="73C534C8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EAB156" w14:textId="7AB102CC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D9B" w:rsidRPr="00CE1888" w14:paraId="7845AC1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389010" w14:textId="77777777" w:rsidR="00510D9B" w:rsidRPr="00CE1888" w:rsidRDefault="00510D9B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FBA05B" w14:textId="2FBFDD25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343CE7F" w14:textId="3ABAEA6B" w:rsidR="00510D9B" w:rsidRPr="00510D9B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B55DFB1" w14:textId="77777777" w:rsidR="00510D9B" w:rsidRPr="00CE1888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8733F05" w14:textId="77777777" w:rsidR="00510D9B" w:rsidRPr="00CE1888" w:rsidRDefault="00510D9B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601CADC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3E798D8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DF49A6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191B1B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1319E52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7937C84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6A4BF111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744166B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A1CE04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0D43890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88ADE6E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283EDF1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19F071A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E6C140E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34A5918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648B8E0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EE923F8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115BC94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37412052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844DF1F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307EBB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07A96EF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FD4836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4C7FCFB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4B3D361D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881BC6F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26D594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0DC4DC7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A0C247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84A08B6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6BDD8139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651C417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9DC59C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56C322E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2CDEC3A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0EC148F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5630357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BB35F4B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B5B9631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9D9664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F9F43D5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BFA237C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491A4B8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2802C3D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A2DEC5C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D17B36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708EC6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A2218B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0F4B8DB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0D0D609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6AFD62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2B6BF67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7D99F39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2BE0827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5915991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088A59B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5461C5F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DBB6C6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39DFD1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4C2433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CE1888" w14:paraId="1DFC415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C9FA62F" w14:textId="77777777" w:rsidR="00706B99" w:rsidRPr="00CE1888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B718D8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240B9B0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2056A7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A9039B" w14:textId="77777777" w:rsidR="00706B99" w:rsidRPr="00CE1888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499B" w:rsidRPr="00CE1888" w14:paraId="3C8399E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162FC45" w14:textId="77777777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7D74CB37" w14:textId="1C5372E1" w:rsidR="0044499B" w:rsidRPr="00CE1888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15,23%</w:t>
            </w:r>
          </w:p>
        </w:tc>
        <w:tc>
          <w:tcPr>
            <w:tcW w:w="1737" w:type="dxa"/>
            <w:noWrap/>
            <w:vAlign w:val="bottom"/>
          </w:tcPr>
          <w:p w14:paraId="04A4E968" w14:textId="486AF223" w:rsidR="0044499B" w:rsidRPr="00CE1888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8,77%</w:t>
            </w:r>
          </w:p>
        </w:tc>
        <w:tc>
          <w:tcPr>
            <w:tcW w:w="1736" w:type="dxa"/>
            <w:noWrap/>
            <w:vAlign w:val="center"/>
          </w:tcPr>
          <w:p w14:paraId="459AE7F7" w14:textId="77777777" w:rsidR="0044499B" w:rsidRPr="00CE188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C1B683" w14:textId="77777777" w:rsidR="0044499B" w:rsidRPr="00CE1888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FB321DC" w14:textId="77777777" w:rsidR="00706B99" w:rsidRPr="00CE1888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89" w:type="dxa"/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0B3154" w:rsidRPr="00CE1888" w14:paraId="71075947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3626B596" w14:textId="77777777" w:rsidR="000B3154" w:rsidRPr="00CE1888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Concentrazione del Mercato</w:t>
            </w:r>
          </w:p>
        </w:tc>
        <w:tc>
          <w:tcPr>
            <w:tcW w:w="3969" w:type="dxa"/>
            <w:vAlign w:val="center"/>
            <w:hideMark/>
          </w:tcPr>
          <w:p w14:paraId="06110BF8" w14:textId="03057604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977" w:type="dxa"/>
            <w:vAlign w:val="center"/>
            <w:hideMark/>
          </w:tcPr>
          <w:p w14:paraId="5704DFB7" w14:textId="5B108E7C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</w:tr>
      <w:tr w:rsidR="0044499B" w:rsidRPr="00CE1888" w14:paraId="4B20C421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1F8E4EA" w14:textId="26DF0A20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 xml:space="preserve">Quota prime cinque Associate </w:t>
            </w:r>
          </w:p>
        </w:tc>
        <w:tc>
          <w:tcPr>
            <w:tcW w:w="3969" w:type="dxa"/>
            <w:vAlign w:val="bottom"/>
          </w:tcPr>
          <w:p w14:paraId="0472C30C" w14:textId="72FFABBB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14,69%</w:t>
            </w:r>
          </w:p>
        </w:tc>
        <w:tc>
          <w:tcPr>
            <w:tcW w:w="2977" w:type="dxa"/>
            <w:vAlign w:val="bottom"/>
          </w:tcPr>
          <w:p w14:paraId="41B15543" w14:textId="556C2CB4" w:rsidR="0044499B" w:rsidRPr="00510D9B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8,58%</w:t>
            </w:r>
          </w:p>
        </w:tc>
      </w:tr>
      <w:tr w:rsidR="0044499B" w:rsidRPr="00CE1888" w14:paraId="555F043C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43110932" w14:textId="09FA8B51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Quota prime dieci Associate</w:t>
            </w:r>
          </w:p>
        </w:tc>
        <w:tc>
          <w:tcPr>
            <w:tcW w:w="3969" w:type="dxa"/>
            <w:vAlign w:val="bottom"/>
          </w:tcPr>
          <w:p w14:paraId="7F9A8985" w14:textId="31FBD453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15,19%</w:t>
            </w:r>
          </w:p>
        </w:tc>
        <w:tc>
          <w:tcPr>
            <w:tcW w:w="2977" w:type="dxa"/>
            <w:vAlign w:val="bottom"/>
          </w:tcPr>
          <w:p w14:paraId="669AA2A8" w14:textId="250D5350" w:rsidR="0044499B" w:rsidRPr="00510D9B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9,28%</w:t>
            </w:r>
          </w:p>
        </w:tc>
      </w:tr>
    </w:tbl>
    <w:p w14:paraId="39325FA4" w14:textId="77777777" w:rsidR="00706B99" w:rsidRPr="00CE1888" w:rsidRDefault="00706B99" w:rsidP="00B2004F">
      <w:pPr>
        <w:tabs>
          <w:tab w:val="left" w:pos="2340"/>
        </w:tabs>
        <w:spacing w:after="0"/>
        <w:rPr>
          <w:color w:val="4F81BD" w:themeColor="accent1"/>
          <w:sz w:val="20"/>
          <w:szCs w:val="20"/>
        </w:rPr>
      </w:pPr>
    </w:p>
    <w:tbl>
      <w:tblPr>
        <w:tblStyle w:val="Sfondomedio2-Colore12"/>
        <w:tblW w:w="9854" w:type="dxa"/>
        <w:tblLook w:val="04A0" w:firstRow="1" w:lastRow="0" w:firstColumn="1" w:lastColumn="0" w:noHBand="0" w:noVBand="1"/>
      </w:tblPr>
      <w:tblGrid>
        <w:gridCol w:w="2943"/>
        <w:gridCol w:w="2192"/>
        <w:gridCol w:w="2460"/>
        <w:gridCol w:w="2259"/>
      </w:tblGrid>
      <w:tr w:rsidR="000B3154" w:rsidRPr="00CE1888" w14:paraId="0EE9826E" w14:textId="77777777" w:rsidTr="00D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5C8BFB5B" w14:textId="77777777" w:rsidR="000B3154" w:rsidRPr="00CE1888" w:rsidRDefault="000B3154" w:rsidP="000B315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Dati totali del Mercato</w:t>
            </w:r>
          </w:p>
        </w:tc>
        <w:tc>
          <w:tcPr>
            <w:tcW w:w="2192" w:type="dxa"/>
            <w:vAlign w:val="center"/>
            <w:hideMark/>
          </w:tcPr>
          <w:p w14:paraId="0136B7AA" w14:textId="4B4603C6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2460" w:type="dxa"/>
            <w:vAlign w:val="center"/>
            <w:hideMark/>
          </w:tcPr>
          <w:p w14:paraId="2B30B3ED" w14:textId="5369E221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2259" w:type="dxa"/>
          </w:tcPr>
          <w:p w14:paraId="0673434D" w14:textId="77777777" w:rsidR="000B3154" w:rsidRPr="00CE1888" w:rsidRDefault="000B3154" w:rsidP="000B315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Variazione</w:t>
            </w:r>
          </w:p>
        </w:tc>
      </w:tr>
      <w:tr w:rsidR="0044499B" w:rsidRPr="00CE1888" w14:paraId="49B58C8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  <w:hideMark/>
          </w:tcPr>
          <w:p w14:paraId="2F3D808E" w14:textId="77777777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Contratti totali</w:t>
            </w:r>
          </w:p>
        </w:tc>
        <w:tc>
          <w:tcPr>
            <w:tcW w:w="2192" w:type="dxa"/>
            <w:vAlign w:val="bottom"/>
          </w:tcPr>
          <w:p w14:paraId="65798776" w14:textId="2348BAE3" w:rsidR="0044499B" w:rsidRPr="003F2949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3.455.372</w:t>
            </w:r>
          </w:p>
        </w:tc>
        <w:tc>
          <w:tcPr>
            <w:tcW w:w="2460" w:type="dxa"/>
            <w:vAlign w:val="bottom"/>
          </w:tcPr>
          <w:p w14:paraId="024EA116" w14:textId="383648AB" w:rsidR="0044499B" w:rsidRPr="003F2949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3.353.054</w:t>
            </w:r>
          </w:p>
        </w:tc>
        <w:tc>
          <w:tcPr>
            <w:tcW w:w="2259" w:type="dxa"/>
            <w:vAlign w:val="bottom"/>
          </w:tcPr>
          <w:p w14:paraId="1D86714E" w14:textId="158E966D" w:rsidR="0044499B" w:rsidRPr="003F2949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3,05%</w:t>
            </w:r>
          </w:p>
        </w:tc>
      </w:tr>
      <w:tr w:rsidR="0044499B" w:rsidRPr="00CE1888" w14:paraId="6D3D1F3B" w14:textId="77777777" w:rsidTr="007154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4DD5463" w14:textId="2B3114FD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Operazioni totali</w:t>
            </w:r>
          </w:p>
        </w:tc>
        <w:tc>
          <w:tcPr>
            <w:tcW w:w="2192" w:type="dxa"/>
            <w:vAlign w:val="bottom"/>
          </w:tcPr>
          <w:p w14:paraId="49FB3407" w14:textId="1A2D7FF5" w:rsidR="0044499B" w:rsidRPr="003F2949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5.344</w:t>
            </w:r>
          </w:p>
        </w:tc>
        <w:tc>
          <w:tcPr>
            <w:tcW w:w="2460" w:type="dxa"/>
            <w:vAlign w:val="bottom"/>
          </w:tcPr>
          <w:p w14:paraId="4507D71F" w14:textId="5E92A1DC" w:rsidR="0044499B" w:rsidRPr="003F2949" w:rsidRDefault="0044499B" w:rsidP="0044499B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4.458</w:t>
            </w:r>
          </w:p>
        </w:tc>
        <w:tc>
          <w:tcPr>
            <w:tcW w:w="2259" w:type="dxa"/>
            <w:vAlign w:val="bottom"/>
          </w:tcPr>
          <w:p w14:paraId="58D48D49" w14:textId="3A58562E" w:rsidR="0044499B" w:rsidRPr="003F2949" w:rsidRDefault="0044499B" w:rsidP="00444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19,87%</w:t>
            </w:r>
          </w:p>
        </w:tc>
      </w:tr>
      <w:tr w:rsidR="0044499B" w:rsidRPr="00CE1888" w14:paraId="2D097AC8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CE401FC" w14:textId="77777777" w:rsidR="0044499B" w:rsidRPr="00CE1888" w:rsidRDefault="0044499B" w:rsidP="0044499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 xml:space="preserve">Contratti per operazione </w:t>
            </w:r>
          </w:p>
        </w:tc>
        <w:tc>
          <w:tcPr>
            <w:tcW w:w="2192" w:type="dxa"/>
            <w:vAlign w:val="bottom"/>
          </w:tcPr>
          <w:p w14:paraId="322CFB96" w14:textId="69EEF3B5" w:rsidR="0044499B" w:rsidRPr="003F2949" w:rsidRDefault="0044499B" w:rsidP="00444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646,59</w:t>
            </w:r>
          </w:p>
        </w:tc>
        <w:tc>
          <w:tcPr>
            <w:tcW w:w="2460" w:type="dxa"/>
            <w:vAlign w:val="bottom"/>
          </w:tcPr>
          <w:p w14:paraId="02BC7792" w14:textId="0F084E29" w:rsidR="0044499B" w:rsidRPr="003F2949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752,14</w:t>
            </w:r>
          </w:p>
        </w:tc>
        <w:tc>
          <w:tcPr>
            <w:tcW w:w="2259" w:type="dxa"/>
            <w:vAlign w:val="bottom"/>
          </w:tcPr>
          <w:p w14:paraId="1343D9DC" w14:textId="77777777" w:rsidR="0044499B" w:rsidRPr="003F2949" w:rsidRDefault="0044499B" w:rsidP="0044499B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FB81B6D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5011D75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6D3EAD2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AE4418D" w14:textId="77777777" w:rsidR="00706B99" w:rsidRPr="00AF18EC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1B367BB" w14:textId="77777777" w:rsidR="00706B99" w:rsidRPr="00AF18EC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A9F62E7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A1F609" w14:textId="77777777" w:rsidR="00E16918" w:rsidRPr="00AF18EC" w:rsidRDefault="00E16918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3688100" w14:textId="77777777" w:rsidR="00706B99" w:rsidRPr="00AF18EC" w:rsidRDefault="00706B99" w:rsidP="00706B99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ALLEGATO </w:t>
      </w:r>
      <w:r>
        <w:rPr>
          <w:b/>
          <w:bCs/>
          <w:color w:val="4F81BD" w:themeColor="accent1"/>
          <w:sz w:val="36"/>
          <w:szCs w:val="36"/>
        </w:rPr>
        <w:t>4</w:t>
      </w:r>
    </w:p>
    <w:p w14:paraId="7B29ACA5" w14:textId="77777777" w:rsidR="00706B99" w:rsidRPr="00AF18EC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8D1395F" w14:textId="77777777" w:rsidR="00706B99" w:rsidRPr="00AF18EC" w:rsidRDefault="00706B99" w:rsidP="00706B99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CLASSIFICHE </w:t>
      </w:r>
      <w:r>
        <w:rPr>
          <w:b/>
          <w:bCs/>
          <w:color w:val="4F81BD" w:themeColor="accent1"/>
          <w:sz w:val="36"/>
          <w:szCs w:val="36"/>
        </w:rPr>
        <w:t>NUMERO OPERAZIONI ESEGUITE</w:t>
      </w:r>
    </w:p>
    <w:p w14:paraId="5D9295B3" w14:textId="77777777" w:rsidR="00706B99" w:rsidRPr="00AF18EC" w:rsidRDefault="00706B99" w:rsidP="00706B99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>BORSA ITALIANA</w:t>
      </w:r>
      <w:r w:rsidR="00654DC4">
        <w:rPr>
          <w:b/>
          <w:bCs/>
          <w:color w:val="4F81BD" w:themeColor="accent1"/>
          <w:sz w:val="36"/>
          <w:szCs w:val="36"/>
        </w:rPr>
        <w:t xml:space="preserve"> (TOTALI)</w:t>
      </w:r>
    </w:p>
    <w:p w14:paraId="5B85E9F7" w14:textId="77777777" w:rsidR="00706B99" w:rsidRPr="00AF18EC" w:rsidRDefault="00706B99" w:rsidP="00706B99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AF18EC">
        <w:rPr>
          <w:b/>
          <w:bCs/>
          <w:color w:val="4F81BD" w:themeColor="accent1"/>
          <w:sz w:val="36"/>
          <w:szCs w:val="36"/>
          <w:lang w:val="en-US"/>
        </w:rPr>
        <w:t>EUROTLX SIM</w:t>
      </w:r>
      <w:r w:rsidR="00654DC4">
        <w:rPr>
          <w:b/>
          <w:bCs/>
          <w:color w:val="4F81BD" w:themeColor="accent1"/>
          <w:sz w:val="36"/>
          <w:szCs w:val="36"/>
          <w:lang w:val="en-US"/>
        </w:rPr>
        <w:t xml:space="preserve"> (C/TERZI)</w:t>
      </w:r>
    </w:p>
    <w:p w14:paraId="3B6D7ED3" w14:textId="77777777" w:rsidR="00706B99" w:rsidRPr="00AF18EC" w:rsidRDefault="00706B99" w:rsidP="00706B99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AF18EC">
        <w:rPr>
          <w:b/>
          <w:bCs/>
          <w:color w:val="4F81BD" w:themeColor="accent1"/>
          <w:sz w:val="36"/>
          <w:szCs w:val="36"/>
          <w:lang w:val="en-US"/>
        </w:rPr>
        <w:t>HIMTF SIM</w:t>
      </w:r>
      <w:r w:rsidR="00654DC4">
        <w:rPr>
          <w:b/>
          <w:bCs/>
          <w:color w:val="4F81BD" w:themeColor="accent1"/>
          <w:sz w:val="36"/>
          <w:szCs w:val="36"/>
          <w:lang w:val="en-US"/>
        </w:rPr>
        <w:t xml:space="preserve"> (C/TERZI)</w:t>
      </w:r>
    </w:p>
    <w:p w14:paraId="13632CFA" w14:textId="77777777" w:rsidR="00706B99" w:rsidRPr="00D713FA" w:rsidRDefault="00706B99" w:rsidP="00706B99">
      <w:pPr>
        <w:numPr>
          <w:ilvl w:val="0"/>
          <w:numId w:val="2"/>
        </w:numPr>
        <w:tabs>
          <w:tab w:val="left" w:pos="2340"/>
        </w:tabs>
        <w:contextualSpacing/>
        <w:jc w:val="both"/>
        <w:rPr>
          <w:b/>
          <w:bCs/>
          <w:color w:val="4F81BD" w:themeColor="accent1"/>
          <w:sz w:val="36"/>
          <w:szCs w:val="36"/>
        </w:rPr>
      </w:pPr>
      <w:r w:rsidRPr="00D713FA">
        <w:rPr>
          <w:b/>
          <w:bCs/>
          <w:color w:val="4F81BD" w:themeColor="accent1"/>
          <w:sz w:val="36"/>
          <w:szCs w:val="36"/>
        </w:rPr>
        <w:t xml:space="preserve">EQUIDUCT </w:t>
      </w:r>
      <w:r w:rsidRPr="000F2804">
        <w:rPr>
          <w:b/>
          <w:bCs/>
          <w:color w:val="4F81BD" w:themeColor="accent1"/>
          <w:sz w:val="36"/>
          <w:szCs w:val="36"/>
        </w:rPr>
        <w:t>(</w:t>
      </w:r>
      <w:r w:rsidR="00D713FA" w:rsidRPr="00D713FA">
        <w:rPr>
          <w:b/>
          <w:bCs/>
          <w:color w:val="4F81BD" w:themeColor="accent1"/>
          <w:sz w:val="36"/>
          <w:szCs w:val="36"/>
        </w:rPr>
        <w:t>C/TERZI</w:t>
      </w:r>
      <w:r w:rsidR="00D713FA" w:rsidRPr="000F2804">
        <w:rPr>
          <w:b/>
          <w:bCs/>
          <w:color w:val="4F81BD" w:themeColor="accent1"/>
          <w:sz w:val="36"/>
          <w:szCs w:val="36"/>
        </w:rPr>
        <w:t xml:space="preserve"> </w:t>
      </w:r>
      <w:r w:rsidRPr="000F2804">
        <w:rPr>
          <w:b/>
          <w:bCs/>
          <w:color w:val="4F81BD" w:themeColor="accent1"/>
          <w:sz w:val="36"/>
          <w:szCs w:val="36"/>
        </w:rPr>
        <w:t>AZIONI ITALIANE)</w:t>
      </w:r>
    </w:p>
    <w:p w14:paraId="5EC12E63" w14:textId="77777777" w:rsidR="00706B99" w:rsidRPr="00AF18EC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41D7551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92A66BC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AB430FC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DC8029A" w14:textId="77777777" w:rsidR="009E32B8" w:rsidRDefault="009E32B8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D187342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E0A9659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736B956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970EC63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C296B22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BFFB0AC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B298E9B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45074CC" w14:textId="181FD84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8B8CFF2" w14:textId="0D8E50A3" w:rsidR="00DE0999" w:rsidRDefault="00DE09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7B83A22" w14:textId="77777777" w:rsidR="00DE0999" w:rsidRDefault="00DE09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D9DA18F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34BB090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9C12DF9" w14:textId="77777777" w:rsidR="00102F9B" w:rsidRDefault="00102F9B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30D82FF" w14:textId="77777777" w:rsidR="00706B99" w:rsidRDefault="00706B99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8674CCD" w14:textId="77777777" w:rsidR="00E16918" w:rsidRDefault="00E16918" w:rsidP="00706B9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DFA17FC" w14:textId="77777777" w:rsidR="0029301D" w:rsidRDefault="0029301D" w:rsidP="0029301D">
      <w:pPr>
        <w:tabs>
          <w:tab w:val="left" w:pos="2340"/>
        </w:tabs>
        <w:spacing w:before="240"/>
        <w:jc w:val="both"/>
      </w:pPr>
      <w:r w:rsidRPr="00B2004F">
        <w:t>Nota metodologica: L</w:t>
      </w:r>
      <w:r>
        <w:t>e</w:t>
      </w:r>
      <w:r w:rsidRPr="00B2004F">
        <w:t xml:space="preserve"> classific</w:t>
      </w:r>
      <w:r>
        <w:t>he</w:t>
      </w:r>
      <w:r w:rsidRPr="00B2004F">
        <w:t xml:space="preserve"> </w:t>
      </w:r>
      <w:r>
        <w:t>sono</w:t>
      </w:r>
      <w:r w:rsidRPr="00B2004F">
        <w:t xml:space="preserve"> elaborat</w:t>
      </w:r>
      <w:r>
        <w:t>e</w:t>
      </w:r>
      <w:r w:rsidRPr="00B2004F">
        <w:t xml:space="preserve"> sulla base de</w:t>
      </w:r>
      <w:r>
        <w:t>lle</w:t>
      </w:r>
      <w:r w:rsidRPr="00B2004F">
        <w:t xml:space="preserve"> </w:t>
      </w:r>
      <w:r>
        <w:t>operazioni:</w:t>
      </w:r>
    </w:p>
    <w:p w14:paraId="0E76EB47" w14:textId="21910B9A" w:rsidR="0029301D" w:rsidRDefault="0029301D" w:rsidP="0029301D">
      <w:pPr>
        <w:pStyle w:val="Paragrafoelenco"/>
        <w:numPr>
          <w:ilvl w:val="0"/>
          <w:numId w:val="4"/>
        </w:numPr>
        <w:tabs>
          <w:tab w:val="left" w:pos="2340"/>
        </w:tabs>
        <w:spacing w:before="240"/>
        <w:jc w:val="both"/>
      </w:pPr>
      <w:r>
        <w:t xml:space="preserve">Totali </w:t>
      </w:r>
      <w:r w:rsidR="0079494D">
        <w:t xml:space="preserve">(conto proprio, conto terzi e </w:t>
      </w:r>
      <w:r w:rsidR="0079494D" w:rsidRPr="0079494D">
        <w:rPr>
          <w:i/>
        </w:rPr>
        <w:t>matched principal</w:t>
      </w:r>
      <w:r w:rsidR="0079494D">
        <w:t xml:space="preserve">) </w:t>
      </w:r>
      <w:r>
        <w:t xml:space="preserve">eseguite sugli strumenti finanziari negoziati </w:t>
      </w:r>
      <w:r w:rsidRPr="00B2004F">
        <w:t>dagli intermediari Associati su</w:t>
      </w:r>
      <w:r>
        <w:t xml:space="preserve">i </w:t>
      </w:r>
      <w:r w:rsidRPr="00B2004F">
        <w:t>mercat</w:t>
      </w:r>
      <w:r>
        <w:t>i</w:t>
      </w:r>
      <w:r w:rsidRPr="00B2004F">
        <w:t xml:space="preserve"> </w:t>
      </w:r>
      <w:r>
        <w:t xml:space="preserve">gestiti da BORSA ITALIANA. </w:t>
      </w:r>
    </w:p>
    <w:p w14:paraId="032CB646" w14:textId="77777777" w:rsidR="0029301D" w:rsidRDefault="0029301D" w:rsidP="0029301D">
      <w:pPr>
        <w:pStyle w:val="Paragrafoelenco"/>
        <w:numPr>
          <w:ilvl w:val="0"/>
          <w:numId w:val="4"/>
        </w:numPr>
        <w:tabs>
          <w:tab w:val="left" w:pos="2340"/>
        </w:tabs>
        <w:spacing w:before="240"/>
        <w:jc w:val="both"/>
      </w:pPr>
      <w:r>
        <w:t xml:space="preserve">C/Terzi eseguite sugli strumenti finanziari negoziati </w:t>
      </w:r>
      <w:r w:rsidRPr="00B2004F">
        <w:t>dagli intermediari Associati su</w:t>
      </w:r>
      <w:r>
        <w:t xml:space="preserve">i </w:t>
      </w:r>
      <w:r w:rsidRPr="00B2004F">
        <w:t>mercat</w:t>
      </w:r>
      <w:r>
        <w:t>i</w:t>
      </w:r>
      <w:r w:rsidRPr="00B2004F">
        <w:t xml:space="preserve"> </w:t>
      </w:r>
      <w:r>
        <w:t>gestiti da EUROTLX SIM</w:t>
      </w:r>
      <w:r w:rsidR="007B74C0">
        <w:t xml:space="preserve"> e</w:t>
      </w:r>
      <w:r>
        <w:t xml:space="preserve"> HI MTF SIM</w:t>
      </w:r>
    </w:p>
    <w:p w14:paraId="655946BC" w14:textId="70841A53" w:rsidR="00EE6678" w:rsidRDefault="0029301D" w:rsidP="00EE6678">
      <w:pPr>
        <w:pStyle w:val="Paragrafoelenco"/>
        <w:numPr>
          <w:ilvl w:val="0"/>
          <w:numId w:val="4"/>
        </w:numPr>
        <w:tabs>
          <w:tab w:val="left" w:pos="2340"/>
        </w:tabs>
        <w:spacing w:before="240"/>
        <w:jc w:val="both"/>
      </w:pPr>
      <w:r>
        <w:t xml:space="preserve">C/Terzi eseguite sugli strumenti finanziari </w:t>
      </w:r>
      <w:r w:rsidR="00D506B9">
        <w:t xml:space="preserve">italiani </w:t>
      </w:r>
      <w:r>
        <w:t xml:space="preserve">negoziati </w:t>
      </w:r>
      <w:r w:rsidRPr="00B2004F">
        <w:t>dagli intermediari Associati su</w:t>
      </w:r>
      <w:r w:rsidR="00DE0999">
        <w:t>l</w:t>
      </w:r>
      <w:r>
        <w:t xml:space="preserve"> </w:t>
      </w:r>
      <w:r w:rsidRPr="00B2004F">
        <w:t>mercat</w:t>
      </w:r>
      <w:r w:rsidR="00DE0999">
        <w:t>o</w:t>
      </w:r>
      <w:r w:rsidRPr="00B2004F">
        <w:t xml:space="preserve"> </w:t>
      </w:r>
      <w:r>
        <w:t>ge</w:t>
      </w:r>
      <w:r w:rsidR="00EE6678">
        <w:t>stit</w:t>
      </w:r>
      <w:r w:rsidR="00DE0999">
        <w:t>o</w:t>
      </w:r>
      <w:r w:rsidR="00EE6678">
        <w:t xml:space="preserve"> </w:t>
      </w:r>
      <w:r w:rsidR="00DE0999">
        <w:t xml:space="preserve">da </w:t>
      </w:r>
      <w:r w:rsidR="00EE6678">
        <w:t>EQUIDUCT</w:t>
      </w:r>
    </w:p>
    <w:p w14:paraId="2CFB9A0E" w14:textId="77777777" w:rsidR="00EE6678" w:rsidRPr="00AF18EC" w:rsidRDefault="00EE6678" w:rsidP="00EE6678">
      <w:pPr>
        <w:pStyle w:val="Paragrafoelenco"/>
        <w:tabs>
          <w:tab w:val="left" w:pos="2340"/>
        </w:tabs>
        <w:spacing w:before="240"/>
        <w:jc w:val="both"/>
      </w:pPr>
    </w:p>
    <w:p w14:paraId="4B51C9F3" w14:textId="77777777" w:rsidR="00706B99" w:rsidRDefault="00706B99" w:rsidP="00706B99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>BORSA ITALIANA: MTA</w:t>
      </w:r>
      <w:r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1BBD5854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6FC1DE75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9F25B51" w14:textId="77777777" w:rsidR="00A635A4" w:rsidRPr="00E346D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1A6133B" w14:textId="6203E17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B3CB25A" w14:textId="63A8DF3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3292DA2C" w14:textId="79449E6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7313917B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908556C" w14:textId="50C120C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3C2439" w:rsidRPr="00AF18EC" w14:paraId="56748D9F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80209E" w14:textId="702B6946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7D703FCF" w14:textId="6368E2F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1737" w:type="dxa"/>
            <w:noWrap/>
            <w:vAlign w:val="bottom"/>
          </w:tcPr>
          <w:p w14:paraId="564CF67D" w14:textId="64232F03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6,74%</w:t>
            </w:r>
          </w:p>
        </w:tc>
        <w:tc>
          <w:tcPr>
            <w:tcW w:w="1736" w:type="dxa"/>
            <w:noWrap/>
            <w:vAlign w:val="bottom"/>
          </w:tcPr>
          <w:p w14:paraId="6198F0DA" w14:textId="144C4BDE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0,39%</w:t>
            </w:r>
          </w:p>
        </w:tc>
        <w:tc>
          <w:tcPr>
            <w:tcW w:w="1737" w:type="dxa"/>
            <w:noWrap/>
            <w:vAlign w:val="bottom"/>
          </w:tcPr>
          <w:p w14:paraId="435CB40F" w14:textId="05C0B977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C2439" w:rsidRPr="00AF18EC" w14:paraId="221D0625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069F55C" w14:textId="51137D66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0BF6BA25" w14:textId="72AD2378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5,27%</w:t>
            </w:r>
          </w:p>
        </w:tc>
        <w:tc>
          <w:tcPr>
            <w:tcW w:w="1737" w:type="dxa"/>
            <w:noWrap/>
            <w:vAlign w:val="bottom"/>
          </w:tcPr>
          <w:p w14:paraId="134FCA40" w14:textId="07005EA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5,39%</w:t>
            </w:r>
          </w:p>
        </w:tc>
        <w:tc>
          <w:tcPr>
            <w:tcW w:w="1736" w:type="dxa"/>
            <w:noWrap/>
            <w:vAlign w:val="bottom"/>
          </w:tcPr>
          <w:p w14:paraId="770EC48D" w14:textId="159AA8FD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0C97441F" w14:textId="7EF47998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C2439" w:rsidRPr="00AF18EC" w14:paraId="0614A8FC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818BB6" w14:textId="3A1EFF46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AD9AFE4" w14:textId="2DD5E918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4,83%</w:t>
            </w:r>
          </w:p>
        </w:tc>
        <w:tc>
          <w:tcPr>
            <w:tcW w:w="1737" w:type="dxa"/>
            <w:noWrap/>
            <w:vAlign w:val="bottom"/>
          </w:tcPr>
          <w:p w14:paraId="6C3D9172" w14:textId="217F4071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5,01%</w:t>
            </w:r>
          </w:p>
        </w:tc>
        <w:tc>
          <w:tcPr>
            <w:tcW w:w="1736" w:type="dxa"/>
            <w:noWrap/>
            <w:vAlign w:val="bottom"/>
          </w:tcPr>
          <w:p w14:paraId="1101B788" w14:textId="5ED46745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-0,18%</w:t>
            </w:r>
          </w:p>
        </w:tc>
        <w:tc>
          <w:tcPr>
            <w:tcW w:w="1737" w:type="dxa"/>
            <w:noWrap/>
            <w:vAlign w:val="bottom"/>
          </w:tcPr>
          <w:p w14:paraId="09EA8C4A" w14:textId="0494020A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C2439" w:rsidRPr="00AF18EC" w14:paraId="1CAA0C61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A38491" w14:textId="66641DE0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59219148" w14:textId="54B73B86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3,39%</w:t>
            </w:r>
          </w:p>
        </w:tc>
        <w:tc>
          <w:tcPr>
            <w:tcW w:w="1737" w:type="dxa"/>
            <w:noWrap/>
            <w:vAlign w:val="bottom"/>
          </w:tcPr>
          <w:p w14:paraId="77CF527E" w14:textId="2AF3F0AD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4,59%</w:t>
            </w:r>
          </w:p>
        </w:tc>
        <w:tc>
          <w:tcPr>
            <w:tcW w:w="1736" w:type="dxa"/>
            <w:noWrap/>
            <w:vAlign w:val="bottom"/>
          </w:tcPr>
          <w:p w14:paraId="679C95B8" w14:textId="1A27DD52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-1,20%</w:t>
            </w:r>
          </w:p>
        </w:tc>
        <w:tc>
          <w:tcPr>
            <w:tcW w:w="1737" w:type="dxa"/>
            <w:noWrap/>
            <w:vAlign w:val="bottom"/>
          </w:tcPr>
          <w:p w14:paraId="7D28AE0C" w14:textId="0556578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C2439" w:rsidRPr="00AF18EC" w14:paraId="3F2F9ACD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A9AF31" w14:textId="5045E1DC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2B2CF5C" w14:textId="44DB1FFF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3,07%</w:t>
            </w:r>
          </w:p>
        </w:tc>
        <w:tc>
          <w:tcPr>
            <w:tcW w:w="1737" w:type="dxa"/>
            <w:noWrap/>
            <w:vAlign w:val="bottom"/>
          </w:tcPr>
          <w:p w14:paraId="20C9A6C2" w14:textId="05709E3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3,50%</w:t>
            </w:r>
          </w:p>
        </w:tc>
        <w:tc>
          <w:tcPr>
            <w:tcW w:w="1736" w:type="dxa"/>
            <w:noWrap/>
            <w:vAlign w:val="bottom"/>
          </w:tcPr>
          <w:p w14:paraId="730F2C01" w14:textId="66985F28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-0,43%</w:t>
            </w:r>
          </w:p>
        </w:tc>
        <w:tc>
          <w:tcPr>
            <w:tcW w:w="1737" w:type="dxa"/>
            <w:noWrap/>
            <w:vAlign w:val="bottom"/>
          </w:tcPr>
          <w:p w14:paraId="281816CE" w14:textId="2BF6C41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3C2439" w:rsidRPr="00AF18EC" w14:paraId="05A235B0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528CA2" w14:textId="515603CB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19E9D462" w14:textId="7ED603CD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2,69%</w:t>
            </w:r>
          </w:p>
        </w:tc>
        <w:tc>
          <w:tcPr>
            <w:tcW w:w="1737" w:type="dxa"/>
            <w:noWrap/>
            <w:vAlign w:val="bottom"/>
          </w:tcPr>
          <w:p w14:paraId="3A85698D" w14:textId="489E085B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1736" w:type="dxa"/>
            <w:noWrap/>
            <w:vAlign w:val="bottom"/>
          </w:tcPr>
          <w:p w14:paraId="2B2F17AC" w14:textId="0AA5980F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-0,88%</w:t>
            </w:r>
          </w:p>
        </w:tc>
        <w:tc>
          <w:tcPr>
            <w:tcW w:w="1737" w:type="dxa"/>
            <w:noWrap/>
            <w:vAlign w:val="bottom"/>
          </w:tcPr>
          <w:p w14:paraId="48ABE5F8" w14:textId="2B062BF2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C2439" w:rsidRPr="00AF18EC" w14:paraId="2333B8EA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F24534" w14:textId="2F705A99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B55B26E" w14:textId="1E09F903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2,45%</w:t>
            </w:r>
          </w:p>
        </w:tc>
        <w:tc>
          <w:tcPr>
            <w:tcW w:w="1737" w:type="dxa"/>
            <w:noWrap/>
            <w:vAlign w:val="bottom"/>
          </w:tcPr>
          <w:p w14:paraId="21AB1E4C" w14:textId="1F7875D8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2,68%</w:t>
            </w:r>
          </w:p>
        </w:tc>
        <w:tc>
          <w:tcPr>
            <w:tcW w:w="1736" w:type="dxa"/>
            <w:noWrap/>
            <w:vAlign w:val="bottom"/>
          </w:tcPr>
          <w:p w14:paraId="3CB618A9" w14:textId="1ED9683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-0,23%</w:t>
            </w:r>
          </w:p>
        </w:tc>
        <w:tc>
          <w:tcPr>
            <w:tcW w:w="1737" w:type="dxa"/>
            <w:noWrap/>
            <w:vAlign w:val="bottom"/>
          </w:tcPr>
          <w:p w14:paraId="30DCD713" w14:textId="029000D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C2439" w:rsidRPr="00AF18EC" w14:paraId="5639D4DC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49A7A7" w14:textId="10233369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EB15F73" w14:textId="651A027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2,39%</w:t>
            </w:r>
          </w:p>
        </w:tc>
        <w:tc>
          <w:tcPr>
            <w:tcW w:w="1737" w:type="dxa"/>
            <w:noWrap/>
            <w:vAlign w:val="bottom"/>
          </w:tcPr>
          <w:p w14:paraId="65A797F1" w14:textId="0842286A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2,91%</w:t>
            </w:r>
          </w:p>
        </w:tc>
        <w:tc>
          <w:tcPr>
            <w:tcW w:w="1736" w:type="dxa"/>
            <w:noWrap/>
            <w:vAlign w:val="bottom"/>
          </w:tcPr>
          <w:p w14:paraId="697CD83B" w14:textId="5F76AF58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-0,51%</w:t>
            </w:r>
          </w:p>
        </w:tc>
        <w:tc>
          <w:tcPr>
            <w:tcW w:w="1737" w:type="dxa"/>
            <w:noWrap/>
            <w:vAlign w:val="bottom"/>
          </w:tcPr>
          <w:p w14:paraId="75804DE9" w14:textId="790298B5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3C2439" w:rsidRPr="00AF18EC" w14:paraId="0C87BC75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A7E773" w14:textId="427225D2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B66CCFD" w14:textId="19A6A1E8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2,37%</w:t>
            </w:r>
          </w:p>
        </w:tc>
        <w:tc>
          <w:tcPr>
            <w:tcW w:w="1737" w:type="dxa"/>
            <w:noWrap/>
            <w:vAlign w:val="bottom"/>
          </w:tcPr>
          <w:p w14:paraId="11D2F82E" w14:textId="4EC947E4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2,37%</w:t>
            </w:r>
          </w:p>
        </w:tc>
        <w:tc>
          <w:tcPr>
            <w:tcW w:w="1736" w:type="dxa"/>
            <w:noWrap/>
            <w:vAlign w:val="bottom"/>
          </w:tcPr>
          <w:p w14:paraId="6587B042" w14:textId="62F933C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181D2FB" w14:textId="25FE8A6C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C2439" w:rsidRPr="00AF18EC" w14:paraId="6E15F868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557CBD" w14:textId="768C792A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409F4D41" w14:textId="5C1FA06D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2,19%</w:t>
            </w:r>
          </w:p>
        </w:tc>
        <w:tc>
          <w:tcPr>
            <w:tcW w:w="1737" w:type="dxa"/>
            <w:noWrap/>
            <w:vAlign w:val="bottom"/>
          </w:tcPr>
          <w:p w14:paraId="3A639459" w14:textId="5B1305EA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2,51%</w:t>
            </w:r>
          </w:p>
        </w:tc>
        <w:tc>
          <w:tcPr>
            <w:tcW w:w="1736" w:type="dxa"/>
            <w:noWrap/>
            <w:vAlign w:val="bottom"/>
          </w:tcPr>
          <w:p w14:paraId="193EFD17" w14:textId="613BD6A1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-0,31%</w:t>
            </w:r>
          </w:p>
        </w:tc>
        <w:tc>
          <w:tcPr>
            <w:tcW w:w="1737" w:type="dxa"/>
            <w:noWrap/>
            <w:vAlign w:val="bottom"/>
          </w:tcPr>
          <w:p w14:paraId="20801E45" w14:textId="27437629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3C2439" w:rsidRPr="00AF18EC" w14:paraId="7DC31D67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E7A896" w14:textId="69894723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13B779A" w14:textId="54103B5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1,82%</w:t>
            </w:r>
          </w:p>
        </w:tc>
        <w:tc>
          <w:tcPr>
            <w:tcW w:w="1737" w:type="dxa"/>
            <w:noWrap/>
            <w:vAlign w:val="bottom"/>
          </w:tcPr>
          <w:p w14:paraId="41684B7A" w14:textId="6F50C04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2,18%</w:t>
            </w:r>
          </w:p>
        </w:tc>
        <w:tc>
          <w:tcPr>
            <w:tcW w:w="1736" w:type="dxa"/>
            <w:noWrap/>
            <w:vAlign w:val="bottom"/>
          </w:tcPr>
          <w:p w14:paraId="59245CD0" w14:textId="5C21CC33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-0,36%</w:t>
            </w:r>
          </w:p>
        </w:tc>
        <w:tc>
          <w:tcPr>
            <w:tcW w:w="1737" w:type="dxa"/>
            <w:noWrap/>
            <w:vAlign w:val="bottom"/>
          </w:tcPr>
          <w:p w14:paraId="63097B11" w14:textId="7B48EF9A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3C2439" w:rsidRPr="00AF18EC" w14:paraId="765D15AC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4BFDA4" w14:textId="44FF6F74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B4E54EC" w14:textId="06A18BA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1,71%</w:t>
            </w:r>
          </w:p>
        </w:tc>
        <w:tc>
          <w:tcPr>
            <w:tcW w:w="1737" w:type="dxa"/>
            <w:noWrap/>
            <w:vAlign w:val="bottom"/>
          </w:tcPr>
          <w:p w14:paraId="271C9B22" w14:textId="2DD5360B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2,07%</w:t>
            </w:r>
          </w:p>
        </w:tc>
        <w:tc>
          <w:tcPr>
            <w:tcW w:w="1736" w:type="dxa"/>
            <w:noWrap/>
            <w:vAlign w:val="bottom"/>
          </w:tcPr>
          <w:p w14:paraId="0F782013" w14:textId="44097E01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-0,36%</w:t>
            </w:r>
          </w:p>
        </w:tc>
        <w:tc>
          <w:tcPr>
            <w:tcW w:w="1737" w:type="dxa"/>
            <w:noWrap/>
            <w:vAlign w:val="bottom"/>
          </w:tcPr>
          <w:p w14:paraId="0E733FA3" w14:textId="49F7653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3C2439" w:rsidRPr="00AF18EC" w14:paraId="38DF588B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154FEF" w14:textId="167C30D9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08A865C2" w14:textId="5AE6CC6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1,40%</w:t>
            </w:r>
          </w:p>
        </w:tc>
        <w:tc>
          <w:tcPr>
            <w:tcW w:w="1737" w:type="dxa"/>
            <w:noWrap/>
            <w:vAlign w:val="bottom"/>
          </w:tcPr>
          <w:p w14:paraId="3F54868A" w14:textId="36BC5583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2,13%</w:t>
            </w:r>
          </w:p>
        </w:tc>
        <w:tc>
          <w:tcPr>
            <w:tcW w:w="1736" w:type="dxa"/>
            <w:noWrap/>
            <w:vAlign w:val="bottom"/>
          </w:tcPr>
          <w:p w14:paraId="28BA256A" w14:textId="3872722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-0,72%</w:t>
            </w:r>
          </w:p>
        </w:tc>
        <w:tc>
          <w:tcPr>
            <w:tcW w:w="1737" w:type="dxa"/>
            <w:noWrap/>
            <w:vAlign w:val="bottom"/>
          </w:tcPr>
          <w:p w14:paraId="083A1FB7" w14:textId="7726258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3C2439" w:rsidRPr="00AF18EC" w14:paraId="11A80D1C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5494A6" w14:textId="1576777E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26D7A170" w14:textId="3FAE4BD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7" w:type="dxa"/>
            <w:noWrap/>
            <w:vAlign w:val="bottom"/>
          </w:tcPr>
          <w:p w14:paraId="3959065A" w14:textId="6ADBD133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1,76%</w:t>
            </w:r>
          </w:p>
        </w:tc>
        <w:tc>
          <w:tcPr>
            <w:tcW w:w="1736" w:type="dxa"/>
            <w:noWrap/>
            <w:vAlign w:val="bottom"/>
          </w:tcPr>
          <w:p w14:paraId="27557B2C" w14:textId="1C9A7616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-0,52%</w:t>
            </w:r>
          </w:p>
        </w:tc>
        <w:tc>
          <w:tcPr>
            <w:tcW w:w="1737" w:type="dxa"/>
            <w:noWrap/>
            <w:vAlign w:val="bottom"/>
          </w:tcPr>
          <w:p w14:paraId="1562FD9C" w14:textId="595AE8AF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3C2439" w:rsidRPr="00AF18EC" w14:paraId="1E842257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0BB0ED" w14:textId="26DF141B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68F786D" w14:textId="148ADE7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1,18%</w:t>
            </w:r>
          </w:p>
        </w:tc>
        <w:tc>
          <w:tcPr>
            <w:tcW w:w="1737" w:type="dxa"/>
            <w:noWrap/>
            <w:vAlign w:val="bottom"/>
          </w:tcPr>
          <w:p w14:paraId="190B98AF" w14:textId="5E9E9015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1,27%</w:t>
            </w:r>
          </w:p>
        </w:tc>
        <w:tc>
          <w:tcPr>
            <w:tcW w:w="1736" w:type="dxa"/>
            <w:noWrap/>
            <w:vAlign w:val="bottom"/>
          </w:tcPr>
          <w:p w14:paraId="6CED360E" w14:textId="1A58431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-0,09%</w:t>
            </w:r>
          </w:p>
        </w:tc>
        <w:tc>
          <w:tcPr>
            <w:tcW w:w="1737" w:type="dxa"/>
            <w:noWrap/>
            <w:vAlign w:val="bottom"/>
          </w:tcPr>
          <w:p w14:paraId="633FB809" w14:textId="4FCFA47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3C2439" w:rsidRPr="00AF18EC" w14:paraId="106B8DDD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261AC1" w14:textId="7009E727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26DD2BF7" w14:textId="5DF5DE0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7" w:type="dxa"/>
            <w:noWrap/>
            <w:vAlign w:val="bottom"/>
          </w:tcPr>
          <w:p w14:paraId="0DEC7202" w14:textId="5BE139B3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1,62%</w:t>
            </w:r>
          </w:p>
        </w:tc>
        <w:tc>
          <w:tcPr>
            <w:tcW w:w="1736" w:type="dxa"/>
            <w:noWrap/>
            <w:vAlign w:val="bottom"/>
          </w:tcPr>
          <w:p w14:paraId="42DE70F2" w14:textId="50ED1215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-0,54%</w:t>
            </w:r>
          </w:p>
        </w:tc>
        <w:tc>
          <w:tcPr>
            <w:tcW w:w="1737" w:type="dxa"/>
            <w:noWrap/>
            <w:vAlign w:val="bottom"/>
          </w:tcPr>
          <w:p w14:paraId="6A9FD2EC" w14:textId="5066190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3C2439" w:rsidRPr="00AF18EC" w14:paraId="6E4718CD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2E20DE" w14:textId="43E5C27C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49AFA65C" w14:textId="4C062FB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1,05%</w:t>
            </w:r>
          </w:p>
        </w:tc>
        <w:tc>
          <w:tcPr>
            <w:tcW w:w="1737" w:type="dxa"/>
            <w:noWrap/>
            <w:vAlign w:val="bottom"/>
          </w:tcPr>
          <w:p w14:paraId="728DFCB9" w14:textId="549B8475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1,52%</w:t>
            </w:r>
          </w:p>
        </w:tc>
        <w:tc>
          <w:tcPr>
            <w:tcW w:w="1736" w:type="dxa"/>
            <w:noWrap/>
            <w:vAlign w:val="bottom"/>
          </w:tcPr>
          <w:p w14:paraId="4C253539" w14:textId="32EAB7E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-0,47%</w:t>
            </w:r>
          </w:p>
        </w:tc>
        <w:tc>
          <w:tcPr>
            <w:tcW w:w="1737" w:type="dxa"/>
            <w:noWrap/>
            <w:vAlign w:val="bottom"/>
          </w:tcPr>
          <w:p w14:paraId="4A77BAD3" w14:textId="341D373A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3C2439" w:rsidRPr="00AF18EC" w14:paraId="5FDBAEF5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8F5CBF" w14:textId="298B9302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6EE5D0FE" w14:textId="3807183B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7" w:type="dxa"/>
            <w:noWrap/>
            <w:vAlign w:val="bottom"/>
          </w:tcPr>
          <w:p w14:paraId="018F96AA" w14:textId="4AA589D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6" w:type="dxa"/>
            <w:noWrap/>
            <w:vAlign w:val="bottom"/>
          </w:tcPr>
          <w:p w14:paraId="7C93AAEE" w14:textId="23286EE8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48116EFD" w14:textId="11BAE6F7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C2439" w:rsidRPr="00AF18EC" w14:paraId="544815C1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D3DF0C" w14:textId="5EBB3559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2020945F" w14:textId="79CE8B67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1CE8BF27" w14:textId="7FAF131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0,54%</w:t>
            </w:r>
          </w:p>
        </w:tc>
        <w:tc>
          <w:tcPr>
            <w:tcW w:w="1736" w:type="dxa"/>
            <w:noWrap/>
            <w:vAlign w:val="bottom"/>
          </w:tcPr>
          <w:p w14:paraId="27FA0F50" w14:textId="18FBC7C0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3F2A493A" w14:textId="1E4B81F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3C2439" w:rsidRPr="00AF18EC" w14:paraId="6775C23F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77653A" w14:textId="3BBE3376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3B73534A" w14:textId="5F74D887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7" w:type="dxa"/>
            <w:noWrap/>
            <w:vAlign w:val="bottom"/>
          </w:tcPr>
          <w:p w14:paraId="524F030A" w14:textId="3DFBC4CA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0,98%</w:t>
            </w:r>
          </w:p>
        </w:tc>
        <w:tc>
          <w:tcPr>
            <w:tcW w:w="1736" w:type="dxa"/>
            <w:noWrap/>
            <w:vAlign w:val="bottom"/>
          </w:tcPr>
          <w:p w14:paraId="3C348993" w14:textId="27CE76F7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-0,70%</w:t>
            </w:r>
          </w:p>
        </w:tc>
        <w:tc>
          <w:tcPr>
            <w:tcW w:w="1737" w:type="dxa"/>
            <w:noWrap/>
            <w:vAlign w:val="bottom"/>
          </w:tcPr>
          <w:p w14:paraId="468E984E" w14:textId="196F36E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3C2439" w:rsidRPr="00AF18EC" w14:paraId="2C8D4ECC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BA9E9E4" w14:textId="7EBB9432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07EA519" w14:textId="63FFF696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05907EB0" w14:textId="3E0E20C1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6" w:type="dxa"/>
            <w:noWrap/>
            <w:vAlign w:val="bottom"/>
          </w:tcPr>
          <w:p w14:paraId="1358C7CF" w14:textId="34A08450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4FF60792" w14:textId="6FBD30E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3C2439" w:rsidRPr="00AF18EC" w14:paraId="1EEFFD9A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14AB05" w14:textId="27F6D91E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67F1C085" w14:textId="09B69B65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4073A920" w14:textId="2DED7B56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302BFF4D" w14:textId="69750492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-0,13%</w:t>
            </w:r>
          </w:p>
        </w:tc>
        <w:tc>
          <w:tcPr>
            <w:tcW w:w="1737" w:type="dxa"/>
            <w:noWrap/>
            <w:vAlign w:val="bottom"/>
          </w:tcPr>
          <w:p w14:paraId="22EDFC2D" w14:textId="508062C1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3C2439" w:rsidRPr="00AF18EC" w14:paraId="4AECF9F6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E0B9B6" w14:textId="4B40DD17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034160E0" w14:textId="3AB42A6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7E2E1842" w14:textId="3AA441CD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6" w:type="dxa"/>
            <w:noWrap/>
            <w:vAlign w:val="bottom"/>
          </w:tcPr>
          <w:p w14:paraId="4965A699" w14:textId="3BEC6B82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BB5077C" w14:textId="2D3C76AC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3C2439" w:rsidRPr="00AF18EC" w14:paraId="5D197477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3E2B03" w14:textId="615BF728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6C04C0FE" w14:textId="5E53E102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0D6CC53E" w14:textId="3FD93416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20D78BDB" w14:textId="2041ED5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081D0A1B" w14:textId="398CF53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C2439" w:rsidRPr="00AF18EC" w14:paraId="2E05FFEB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95DE16" w14:textId="0D3D4C3B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7475B832" w14:textId="7EBB8A50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63285DEF" w14:textId="14C9063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1EA878C3" w14:textId="58B4607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02D89A3" w14:textId="7FAC6D16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3C2439" w:rsidRPr="00AF18EC" w14:paraId="78E9B03D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379BB6" w14:textId="3AA3AF95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6B5D5794" w14:textId="22142AA4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76F5A706" w14:textId="7CF1B91F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49157E80" w14:textId="267E8C4E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8A2CEF0" w14:textId="302395B0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3C2439" w:rsidRPr="00AF18EC" w14:paraId="5A08AA98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1B194F" w14:textId="04C90D60" w:rsidR="003C2439" w:rsidRPr="003E6111" w:rsidRDefault="003C2439" w:rsidP="003C24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02A6BD00" w14:textId="5F24C4C9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1AD5F8C" w14:textId="7098D52B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33760B2" w14:textId="787FC5A5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E85472E" w14:textId="7D003DF1" w:rsidR="003C2439" w:rsidRPr="003E6111" w:rsidRDefault="003C2439" w:rsidP="003C2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3C2439" w:rsidRPr="00AF18EC" w14:paraId="5A738A50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8575F1" w14:textId="607A928D" w:rsidR="003C2439" w:rsidRPr="003E6111" w:rsidRDefault="003C2439" w:rsidP="003C243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00A6788" w14:textId="612489CF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A32A31A" w14:textId="0D28612C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3A7D5FE" w14:textId="14DFB825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8C937ED" w14:textId="2C0347A1" w:rsidR="003C2439" w:rsidRPr="003E6111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0C80" w:rsidRPr="00AF18EC" w14:paraId="03874D2E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8E0BC9" w14:textId="639AC1D5" w:rsidR="00A30C80" w:rsidRPr="003E6111" w:rsidRDefault="00A30C80" w:rsidP="00A30C8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D66E6FF" w14:textId="216966D5" w:rsidR="00A30C80" w:rsidRPr="003E6111" w:rsidRDefault="00A30C80" w:rsidP="00A3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FB8C1B2" w14:textId="5C617243" w:rsidR="00A30C80" w:rsidRPr="003E6111" w:rsidRDefault="00A30C80" w:rsidP="00A3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DEB834A" w14:textId="3239543D" w:rsidR="00A30C80" w:rsidRPr="003E6111" w:rsidRDefault="00A30C80" w:rsidP="00A3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F185526" w14:textId="59552355" w:rsidR="00A30C80" w:rsidRPr="003E6111" w:rsidRDefault="00A30C80" w:rsidP="00A3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663C" w:rsidRPr="00AF18EC" w14:paraId="7D932D9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8A87DED" w14:textId="77777777" w:rsidR="00A7663C" w:rsidRPr="00E346DA" w:rsidRDefault="00A7663C" w:rsidP="00A7663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2F3F158" w14:textId="02F004FA" w:rsidR="00A7663C" w:rsidRPr="00E346DA" w:rsidRDefault="00A7663C" w:rsidP="00A76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37EADBD" w14:textId="5FC0CFC8" w:rsidR="00A7663C" w:rsidRPr="00E346DA" w:rsidRDefault="00A7663C" w:rsidP="00A76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7DDBED5E" w14:textId="77777777" w:rsidR="00A7663C" w:rsidRPr="00E346DA" w:rsidRDefault="00A7663C" w:rsidP="00A76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792E3AD0" w14:textId="77777777" w:rsidR="00A7663C" w:rsidRPr="00E346DA" w:rsidRDefault="00A7663C" w:rsidP="00A76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4F758569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24875E3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0DF4755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0C02E65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7C09A1B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2E4D2BD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C2439" w:rsidRPr="00AF18EC" w14:paraId="2D017F5F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A8BE495" w14:textId="77777777" w:rsidR="003C2439" w:rsidRPr="00E346DA" w:rsidRDefault="003C2439" w:rsidP="003C2439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13CD275C" w14:textId="6DCF664E" w:rsidR="003C2439" w:rsidRPr="00A7663C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47,54%</w:t>
            </w:r>
          </w:p>
        </w:tc>
        <w:tc>
          <w:tcPr>
            <w:tcW w:w="1737" w:type="dxa"/>
            <w:noWrap/>
            <w:vAlign w:val="bottom"/>
          </w:tcPr>
          <w:p w14:paraId="406BB83B" w14:textId="4894A969" w:rsidR="003C2439" w:rsidRPr="00A7663C" w:rsidRDefault="003C2439" w:rsidP="003C2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53,44%</w:t>
            </w:r>
          </w:p>
        </w:tc>
        <w:tc>
          <w:tcPr>
            <w:tcW w:w="1736" w:type="dxa"/>
            <w:noWrap/>
            <w:vAlign w:val="center"/>
          </w:tcPr>
          <w:p w14:paraId="7F879808" w14:textId="77777777" w:rsidR="003C2439" w:rsidRPr="00E346DA" w:rsidRDefault="003C2439" w:rsidP="003C24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FE05AA1" w14:textId="77777777" w:rsidR="003C2439" w:rsidRPr="00E346DA" w:rsidRDefault="003C2439" w:rsidP="003C243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D8031C9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A02B06E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4373F95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68F05E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7E15EE9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C02BFC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83F26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0F86E8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5B61C7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66E199A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8D92135" w14:textId="77777777" w:rsidR="00706B99" w:rsidRDefault="00706B99" w:rsidP="00706B99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DOMESTICMOT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2CDBB630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2B148EC1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3E9114E" w14:textId="77777777" w:rsidR="00A635A4" w:rsidRPr="00E346DA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F4983DA" w14:textId="168AFB7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254039B" w14:textId="05862F0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C1B411A" w14:textId="1121CD5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819FC11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4BF5ADAC" w14:textId="07E7ECE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30B3FD87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EB551D6" w14:textId="3AC4E0A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1D1162C6" w14:textId="2DEC0C3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16,31%</w:t>
            </w:r>
          </w:p>
        </w:tc>
        <w:tc>
          <w:tcPr>
            <w:tcW w:w="1737" w:type="dxa"/>
            <w:noWrap/>
            <w:vAlign w:val="bottom"/>
          </w:tcPr>
          <w:p w14:paraId="3F070C36" w14:textId="539E4D4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15,22%</w:t>
            </w:r>
          </w:p>
        </w:tc>
        <w:tc>
          <w:tcPr>
            <w:tcW w:w="1736" w:type="dxa"/>
            <w:noWrap/>
            <w:vAlign w:val="bottom"/>
          </w:tcPr>
          <w:p w14:paraId="0C6C5BFF" w14:textId="7B06D9A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1,09%</w:t>
            </w:r>
          </w:p>
        </w:tc>
        <w:tc>
          <w:tcPr>
            <w:tcW w:w="1737" w:type="dxa"/>
            <w:noWrap/>
            <w:vAlign w:val="bottom"/>
          </w:tcPr>
          <w:p w14:paraId="3411FA16" w14:textId="50D8E57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2E9557C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11EE3A" w14:textId="2BE7BB3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EECD3CE" w14:textId="7405A3D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8,66%</w:t>
            </w:r>
          </w:p>
        </w:tc>
        <w:tc>
          <w:tcPr>
            <w:tcW w:w="1737" w:type="dxa"/>
            <w:noWrap/>
            <w:vAlign w:val="bottom"/>
          </w:tcPr>
          <w:p w14:paraId="1E864A2C" w14:textId="176B42C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1736" w:type="dxa"/>
            <w:noWrap/>
            <w:vAlign w:val="bottom"/>
          </w:tcPr>
          <w:p w14:paraId="20D846A3" w14:textId="08EE884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1,76%</w:t>
            </w:r>
          </w:p>
        </w:tc>
        <w:tc>
          <w:tcPr>
            <w:tcW w:w="1737" w:type="dxa"/>
            <w:noWrap/>
            <w:vAlign w:val="bottom"/>
          </w:tcPr>
          <w:p w14:paraId="241AAE16" w14:textId="41EE71B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0E4E87B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559309" w14:textId="738D719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17F69205" w14:textId="144B8E3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7,26%</w:t>
            </w:r>
          </w:p>
        </w:tc>
        <w:tc>
          <w:tcPr>
            <w:tcW w:w="1737" w:type="dxa"/>
            <w:noWrap/>
            <w:vAlign w:val="bottom"/>
          </w:tcPr>
          <w:p w14:paraId="694C83CF" w14:textId="319B9E3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6,52%</w:t>
            </w:r>
          </w:p>
        </w:tc>
        <w:tc>
          <w:tcPr>
            <w:tcW w:w="1736" w:type="dxa"/>
            <w:noWrap/>
            <w:vAlign w:val="bottom"/>
          </w:tcPr>
          <w:p w14:paraId="37698CAB" w14:textId="3A123DD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7" w:type="dxa"/>
            <w:noWrap/>
            <w:vAlign w:val="bottom"/>
          </w:tcPr>
          <w:p w14:paraId="6746483F" w14:textId="68DC077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4353D7DC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B8F707" w14:textId="5C18868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53E9C44C" w14:textId="33EDB86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7,00%</w:t>
            </w:r>
          </w:p>
        </w:tc>
        <w:tc>
          <w:tcPr>
            <w:tcW w:w="1737" w:type="dxa"/>
            <w:noWrap/>
            <w:vAlign w:val="bottom"/>
          </w:tcPr>
          <w:p w14:paraId="4A1C8215" w14:textId="41C7BBE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7,22%</w:t>
            </w:r>
          </w:p>
        </w:tc>
        <w:tc>
          <w:tcPr>
            <w:tcW w:w="1736" w:type="dxa"/>
            <w:noWrap/>
            <w:vAlign w:val="bottom"/>
          </w:tcPr>
          <w:p w14:paraId="42B73DBD" w14:textId="267F81A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-0,22%</w:t>
            </w:r>
          </w:p>
        </w:tc>
        <w:tc>
          <w:tcPr>
            <w:tcW w:w="1737" w:type="dxa"/>
            <w:noWrap/>
            <w:vAlign w:val="bottom"/>
          </w:tcPr>
          <w:p w14:paraId="0AC85AE6" w14:textId="049CBDA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299B4FC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8CF681" w14:textId="0C238F8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74D975B2" w14:textId="4B46C15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6,14%</w:t>
            </w:r>
          </w:p>
        </w:tc>
        <w:tc>
          <w:tcPr>
            <w:tcW w:w="1737" w:type="dxa"/>
            <w:noWrap/>
            <w:vAlign w:val="bottom"/>
          </w:tcPr>
          <w:p w14:paraId="55852EC4" w14:textId="74739AB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5,65%</w:t>
            </w:r>
          </w:p>
        </w:tc>
        <w:tc>
          <w:tcPr>
            <w:tcW w:w="1736" w:type="dxa"/>
            <w:noWrap/>
            <w:vAlign w:val="bottom"/>
          </w:tcPr>
          <w:p w14:paraId="716004C5" w14:textId="120256B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7" w:type="dxa"/>
            <w:noWrap/>
            <w:vAlign w:val="bottom"/>
          </w:tcPr>
          <w:p w14:paraId="0BA3E52B" w14:textId="7EC558D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3620B3B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651599E" w14:textId="73EEDA78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39E7DCB0" w14:textId="2D4012D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4,75%</w:t>
            </w:r>
          </w:p>
        </w:tc>
        <w:tc>
          <w:tcPr>
            <w:tcW w:w="1737" w:type="dxa"/>
            <w:noWrap/>
            <w:vAlign w:val="bottom"/>
          </w:tcPr>
          <w:p w14:paraId="0F0A210F" w14:textId="0E1EEB6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2,99%</w:t>
            </w:r>
          </w:p>
        </w:tc>
        <w:tc>
          <w:tcPr>
            <w:tcW w:w="1736" w:type="dxa"/>
            <w:noWrap/>
            <w:vAlign w:val="bottom"/>
          </w:tcPr>
          <w:p w14:paraId="12A2FD1E" w14:textId="533A154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1,76%</w:t>
            </w:r>
          </w:p>
        </w:tc>
        <w:tc>
          <w:tcPr>
            <w:tcW w:w="1737" w:type="dxa"/>
            <w:noWrap/>
            <w:vAlign w:val="bottom"/>
          </w:tcPr>
          <w:p w14:paraId="11D51203" w14:textId="764F217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7D369CE4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9B36EB" w14:textId="54C4399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20969B22" w14:textId="06E2EBE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3,82%</w:t>
            </w:r>
          </w:p>
        </w:tc>
        <w:tc>
          <w:tcPr>
            <w:tcW w:w="1737" w:type="dxa"/>
            <w:noWrap/>
            <w:vAlign w:val="bottom"/>
          </w:tcPr>
          <w:p w14:paraId="4CCA1EF3" w14:textId="4A814C7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4,51%</w:t>
            </w:r>
          </w:p>
        </w:tc>
        <w:tc>
          <w:tcPr>
            <w:tcW w:w="1736" w:type="dxa"/>
            <w:noWrap/>
            <w:vAlign w:val="bottom"/>
          </w:tcPr>
          <w:p w14:paraId="01122194" w14:textId="5D5F76F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-0,69%</w:t>
            </w:r>
          </w:p>
        </w:tc>
        <w:tc>
          <w:tcPr>
            <w:tcW w:w="1737" w:type="dxa"/>
            <w:noWrap/>
            <w:vAlign w:val="bottom"/>
          </w:tcPr>
          <w:p w14:paraId="2F9EE151" w14:textId="3264376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47B1C65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2DD293" w14:textId="49AF2BE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7FF4174F" w14:textId="603559C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3,70%</w:t>
            </w:r>
          </w:p>
        </w:tc>
        <w:tc>
          <w:tcPr>
            <w:tcW w:w="1737" w:type="dxa"/>
            <w:noWrap/>
            <w:vAlign w:val="bottom"/>
          </w:tcPr>
          <w:p w14:paraId="522F1D98" w14:textId="79C1D49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2,73%</w:t>
            </w:r>
          </w:p>
        </w:tc>
        <w:tc>
          <w:tcPr>
            <w:tcW w:w="1736" w:type="dxa"/>
            <w:noWrap/>
            <w:vAlign w:val="bottom"/>
          </w:tcPr>
          <w:p w14:paraId="748F3FA2" w14:textId="1C06D3D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7" w:type="dxa"/>
            <w:noWrap/>
            <w:vAlign w:val="bottom"/>
          </w:tcPr>
          <w:p w14:paraId="36892DE0" w14:textId="4CF9D78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5673E5F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11C009" w14:textId="27CDB8D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6600CBFE" w14:textId="1A38304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3,08%</w:t>
            </w:r>
          </w:p>
        </w:tc>
        <w:tc>
          <w:tcPr>
            <w:tcW w:w="1737" w:type="dxa"/>
            <w:noWrap/>
            <w:vAlign w:val="bottom"/>
          </w:tcPr>
          <w:p w14:paraId="479ECE5A" w14:textId="78A0BB0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3,22%</w:t>
            </w:r>
          </w:p>
        </w:tc>
        <w:tc>
          <w:tcPr>
            <w:tcW w:w="1736" w:type="dxa"/>
            <w:noWrap/>
            <w:vAlign w:val="bottom"/>
          </w:tcPr>
          <w:p w14:paraId="325F2EEF" w14:textId="4934E8D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0898514F" w14:textId="0DD486F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07B9F7FD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4928C4" w14:textId="2D49D6C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0CADB55B" w14:textId="04C109C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2,85%</w:t>
            </w:r>
          </w:p>
        </w:tc>
        <w:tc>
          <w:tcPr>
            <w:tcW w:w="1737" w:type="dxa"/>
            <w:noWrap/>
            <w:vAlign w:val="bottom"/>
          </w:tcPr>
          <w:p w14:paraId="7F1328D7" w14:textId="7CA0D25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3,12%</w:t>
            </w:r>
          </w:p>
        </w:tc>
        <w:tc>
          <w:tcPr>
            <w:tcW w:w="1736" w:type="dxa"/>
            <w:noWrap/>
            <w:vAlign w:val="bottom"/>
          </w:tcPr>
          <w:p w14:paraId="1D12B692" w14:textId="40B20C2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-0,27%</w:t>
            </w:r>
          </w:p>
        </w:tc>
        <w:tc>
          <w:tcPr>
            <w:tcW w:w="1737" w:type="dxa"/>
            <w:noWrap/>
            <w:vAlign w:val="bottom"/>
          </w:tcPr>
          <w:p w14:paraId="71F2B941" w14:textId="0989F99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6172595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6B64AE" w14:textId="0D389DC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7020A6E" w14:textId="500A7EB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2,65%</w:t>
            </w:r>
          </w:p>
        </w:tc>
        <w:tc>
          <w:tcPr>
            <w:tcW w:w="1737" w:type="dxa"/>
            <w:noWrap/>
            <w:vAlign w:val="bottom"/>
          </w:tcPr>
          <w:p w14:paraId="1456DFAD" w14:textId="3DAB0F2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1,74%</w:t>
            </w:r>
          </w:p>
        </w:tc>
        <w:tc>
          <w:tcPr>
            <w:tcW w:w="1736" w:type="dxa"/>
            <w:noWrap/>
            <w:vAlign w:val="bottom"/>
          </w:tcPr>
          <w:p w14:paraId="63CFAEC9" w14:textId="66708C7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0,91%</w:t>
            </w:r>
          </w:p>
        </w:tc>
        <w:tc>
          <w:tcPr>
            <w:tcW w:w="1737" w:type="dxa"/>
            <w:noWrap/>
            <w:vAlign w:val="bottom"/>
          </w:tcPr>
          <w:p w14:paraId="3171450A" w14:textId="06C916B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38154495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D9333E" w14:textId="6B78EC0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798FC1EA" w14:textId="1904A7C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2,44%</w:t>
            </w:r>
          </w:p>
        </w:tc>
        <w:tc>
          <w:tcPr>
            <w:tcW w:w="1737" w:type="dxa"/>
            <w:noWrap/>
            <w:vAlign w:val="bottom"/>
          </w:tcPr>
          <w:p w14:paraId="1B0F1988" w14:textId="62A6780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2,21%</w:t>
            </w:r>
          </w:p>
        </w:tc>
        <w:tc>
          <w:tcPr>
            <w:tcW w:w="1736" w:type="dxa"/>
            <w:noWrap/>
            <w:vAlign w:val="bottom"/>
          </w:tcPr>
          <w:p w14:paraId="2D53430F" w14:textId="2758925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6E406951" w14:textId="0BF30AF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4A94AA89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F4E139" w14:textId="05F88D2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770FA10" w14:textId="2B4B1E4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2,33%</w:t>
            </w:r>
          </w:p>
        </w:tc>
        <w:tc>
          <w:tcPr>
            <w:tcW w:w="1737" w:type="dxa"/>
            <w:noWrap/>
            <w:vAlign w:val="bottom"/>
          </w:tcPr>
          <w:p w14:paraId="3435EDB0" w14:textId="7BD65EB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2,37%</w:t>
            </w:r>
          </w:p>
        </w:tc>
        <w:tc>
          <w:tcPr>
            <w:tcW w:w="1736" w:type="dxa"/>
            <w:noWrap/>
            <w:vAlign w:val="bottom"/>
          </w:tcPr>
          <w:p w14:paraId="13EC436B" w14:textId="69FC7E2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69E32879" w14:textId="168078C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394DB70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5F17EB" w14:textId="59A5751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0F257D86" w14:textId="3B8A635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1,84%</w:t>
            </w:r>
          </w:p>
        </w:tc>
        <w:tc>
          <w:tcPr>
            <w:tcW w:w="1737" w:type="dxa"/>
            <w:noWrap/>
            <w:vAlign w:val="bottom"/>
          </w:tcPr>
          <w:p w14:paraId="2C4D276B" w14:textId="471245A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2,54%</w:t>
            </w:r>
          </w:p>
        </w:tc>
        <w:tc>
          <w:tcPr>
            <w:tcW w:w="1736" w:type="dxa"/>
            <w:noWrap/>
            <w:vAlign w:val="bottom"/>
          </w:tcPr>
          <w:p w14:paraId="26EDEE04" w14:textId="2307800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-0,70%</w:t>
            </w:r>
          </w:p>
        </w:tc>
        <w:tc>
          <w:tcPr>
            <w:tcW w:w="1737" w:type="dxa"/>
            <w:noWrap/>
            <w:vAlign w:val="bottom"/>
          </w:tcPr>
          <w:p w14:paraId="10D0E77F" w14:textId="71C723E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52193F67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732A62" w14:textId="7FB9E1F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5E2DDD32" w14:textId="191F64E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208BC113" w14:textId="646DC79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6" w:type="dxa"/>
            <w:noWrap/>
            <w:vAlign w:val="bottom"/>
          </w:tcPr>
          <w:p w14:paraId="2C7ABDAF" w14:textId="628F642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7BCBBCDC" w14:textId="32029DD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522965A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A23972" w14:textId="296D066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3829AE3" w14:textId="569AC4E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0,67%</w:t>
            </w:r>
          </w:p>
        </w:tc>
        <w:tc>
          <w:tcPr>
            <w:tcW w:w="1737" w:type="dxa"/>
            <w:noWrap/>
            <w:vAlign w:val="bottom"/>
          </w:tcPr>
          <w:p w14:paraId="047CD374" w14:textId="0A81A47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6" w:type="dxa"/>
            <w:noWrap/>
            <w:vAlign w:val="bottom"/>
          </w:tcPr>
          <w:p w14:paraId="43C8CC94" w14:textId="2A8E75E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-0,50%</w:t>
            </w:r>
          </w:p>
        </w:tc>
        <w:tc>
          <w:tcPr>
            <w:tcW w:w="1737" w:type="dxa"/>
            <w:noWrap/>
            <w:vAlign w:val="bottom"/>
          </w:tcPr>
          <w:p w14:paraId="095D0F87" w14:textId="364E7D4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56EE509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2D15E1" w14:textId="7C29F75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71AD0F49" w14:textId="7103CFC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0,63%</w:t>
            </w:r>
          </w:p>
        </w:tc>
        <w:tc>
          <w:tcPr>
            <w:tcW w:w="1737" w:type="dxa"/>
            <w:noWrap/>
            <w:vAlign w:val="bottom"/>
          </w:tcPr>
          <w:p w14:paraId="1730465A" w14:textId="3A46DE3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3207B4A7" w14:textId="4BC86EA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6CAA28DB" w14:textId="6349C1C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78D9EC5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97AF5E" w14:textId="1F9ACEB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92F6730" w14:textId="10F95F3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0,57%</w:t>
            </w:r>
          </w:p>
        </w:tc>
        <w:tc>
          <w:tcPr>
            <w:tcW w:w="1737" w:type="dxa"/>
            <w:noWrap/>
            <w:vAlign w:val="bottom"/>
          </w:tcPr>
          <w:p w14:paraId="3A968590" w14:textId="49C733F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6" w:type="dxa"/>
            <w:noWrap/>
            <w:vAlign w:val="bottom"/>
          </w:tcPr>
          <w:p w14:paraId="3B8EB915" w14:textId="7A21B39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0,24%</w:t>
            </w:r>
          </w:p>
        </w:tc>
        <w:tc>
          <w:tcPr>
            <w:tcW w:w="1737" w:type="dxa"/>
            <w:noWrap/>
            <w:vAlign w:val="bottom"/>
          </w:tcPr>
          <w:p w14:paraId="6D5F3750" w14:textId="79F49E4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52E505B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B4D0EF0" w14:textId="3868B03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642E9BA" w14:textId="233DA85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0,45%</w:t>
            </w:r>
          </w:p>
        </w:tc>
        <w:tc>
          <w:tcPr>
            <w:tcW w:w="1737" w:type="dxa"/>
            <w:noWrap/>
            <w:vAlign w:val="bottom"/>
          </w:tcPr>
          <w:p w14:paraId="400D448F" w14:textId="0F6EFFF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0,53%</w:t>
            </w:r>
          </w:p>
        </w:tc>
        <w:tc>
          <w:tcPr>
            <w:tcW w:w="1736" w:type="dxa"/>
            <w:noWrap/>
            <w:vAlign w:val="bottom"/>
          </w:tcPr>
          <w:p w14:paraId="580C006F" w14:textId="305DBC8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5F797E09" w14:textId="1717850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4FC035E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18631E" w14:textId="7C57378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D9F4D7D" w14:textId="38FA3C0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236C9B37" w14:textId="72DD369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188B488D" w14:textId="2B8480E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326B0C36" w14:textId="1552A29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26347" w:rsidRPr="00AF18EC" w14:paraId="36DEF82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E1BBC9" w14:textId="1E34784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3DEDDD12" w14:textId="5DF764E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6946C737" w14:textId="76E6F0B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5B55745A" w14:textId="14ACC36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785D85B2" w14:textId="42D0AE5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26347" w:rsidRPr="00AF18EC" w14:paraId="40716A18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E3893A" w14:textId="5ABE1A3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0E14365D" w14:textId="4A00E0E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38763B6B" w14:textId="1EC038B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2AD2431A" w14:textId="4F4B71B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5F64FE02" w14:textId="1C56085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D26347" w:rsidRPr="00AF18EC" w14:paraId="34C4AD6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FFEC9D" w14:textId="2B89E3E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A253154" w14:textId="63F975B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0FE24BBE" w14:textId="7425513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778084E6" w14:textId="56AA324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18775355" w14:textId="5A57B2B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26347" w:rsidRPr="00AF18EC" w14:paraId="1167BDC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3C69B5" w14:textId="2ED56A6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40B02E2E" w14:textId="77FCFCE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41E86411" w14:textId="3F7E6FD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0B53B35A" w14:textId="7095BA8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251428A3" w14:textId="3B2115E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26347" w:rsidRPr="00AF18EC" w14:paraId="61BE3CE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E71BA2" w14:textId="7F51D80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Ersel SIM</w:t>
            </w:r>
          </w:p>
        </w:tc>
        <w:tc>
          <w:tcPr>
            <w:tcW w:w="1736" w:type="dxa"/>
            <w:noWrap/>
            <w:vAlign w:val="bottom"/>
          </w:tcPr>
          <w:p w14:paraId="641BE81F" w14:textId="01D90BE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1DA4D809" w14:textId="7EA9D5C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5800A4E3" w14:textId="547C57F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2BC28D94" w14:textId="41469F2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D26347" w:rsidRPr="00AF18EC" w14:paraId="51737FD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A347251" w14:textId="4D53820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Leonardo</w:t>
            </w:r>
          </w:p>
        </w:tc>
        <w:tc>
          <w:tcPr>
            <w:tcW w:w="1736" w:type="dxa"/>
            <w:noWrap/>
            <w:vAlign w:val="bottom"/>
          </w:tcPr>
          <w:p w14:paraId="291270EF" w14:textId="17AFA2C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3833CB1" w14:textId="48057A0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6" w:type="dxa"/>
            <w:noWrap/>
            <w:vAlign w:val="bottom"/>
          </w:tcPr>
          <w:p w14:paraId="1CBC312A" w14:textId="1527131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7AB6CA15" w14:textId="171359A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26347" w:rsidRPr="00AF18EC" w14:paraId="48BB7569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FB35E3" w14:textId="15E8E4D8" w:rsidR="00D26347" w:rsidRPr="00E346DA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E4F31CF" w14:textId="7E3FF9D3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F36C511" w14:textId="31074071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332E230" w14:textId="6011ADEF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21C0A14" w14:textId="206865AF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0908D21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A94164F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28B461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A9CEBB7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10BBCB2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52E42F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38B96AFF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2708F3A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33379DE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8D6EC4E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83417B8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17ECE34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39C95412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C4A84C4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1D41BA9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135EEAD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1212E0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96B05C7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19FD460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BAB19E4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E0D3A7C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898E3A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421FF32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47D683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006160D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73ECFC" w14:textId="77777777" w:rsidR="00D26347" w:rsidRPr="00E346DA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0E5737BF" w14:textId="4D6BD1F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76,54%</w:t>
            </w:r>
          </w:p>
        </w:tc>
        <w:tc>
          <w:tcPr>
            <w:tcW w:w="1737" w:type="dxa"/>
            <w:noWrap/>
            <w:vAlign w:val="bottom"/>
          </w:tcPr>
          <w:p w14:paraId="430256B4" w14:textId="3C636F0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67,87%</w:t>
            </w:r>
          </w:p>
        </w:tc>
        <w:tc>
          <w:tcPr>
            <w:tcW w:w="1736" w:type="dxa"/>
            <w:noWrap/>
            <w:vAlign w:val="center"/>
          </w:tcPr>
          <w:p w14:paraId="4BC519B2" w14:textId="77777777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377A77D" w14:textId="77777777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2CD10AB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0052D91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1B1D37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E095FA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A6996D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A58C0D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9EAD49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E99E0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D61882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1B03C4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105EF12" w14:textId="77777777" w:rsidR="00706B99" w:rsidRDefault="00706B99" w:rsidP="00706B99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EUROMOT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3BB17FFA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5AF13454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3875CA9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1AFA73C6" w14:textId="20B0C00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5382522" w14:textId="45209EE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5F557A7" w14:textId="32A1F8F8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1F560D4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DEDE82F" w14:textId="7D908A8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7FDC009B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717206" w14:textId="13CDA7C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5304585" w14:textId="53A9C6F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23,45%</w:t>
            </w:r>
          </w:p>
        </w:tc>
        <w:tc>
          <w:tcPr>
            <w:tcW w:w="1737" w:type="dxa"/>
            <w:noWrap/>
            <w:vAlign w:val="bottom"/>
          </w:tcPr>
          <w:p w14:paraId="27E7C42D" w14:textId="3342FDD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24,47%</w:t>
            </w:r>
          </w:p>
        </w:tc>
        <w:tc>
          <w:tcPr>
            <w:tcW w:w="1736" w:type="dxa"/>
            <w:noWrap/>
            <w:vAlign w:val="bottom"/>
          </w:tcPr>
          <w:p w14:paraId="015DC96B" w14:textId="2C113AE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-1,03%</w:t>
            </w:r>
          </w:p>
        </w:tc>
        <w:tc>
          <w:tcPr>
            <w:tcW w:w="1737" w:type="dxa"/>
            <w:noWrap/>
            <w:vAlign w:val="bottom"/>
          </w:tcPr>
          <w:p w14:paraId="0604C3E6" w14:textId="2C0EB92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43114CDF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102C88" w14:textId="4BE17D8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25893F7D" w14:textId="2498BF7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17,13%</w:t>
            </w:r>
          </w:p>
        </w:tc>
        <w:tc>
          <w:tcPr>
            <w:tcW w:w="1737" w:type="dxa"/>
            <w:noWrap/>
            <w:vAlign w:val="bottom"/>
          </w:tcPr>
          <w:p w14:paraId="1D556F56" w14:textId="12F7016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11,90%</w:t>
            </w:r>
          </w:p>
        </w:tc>
        <w:tc>
          <w:tcPr>
            <w:tcW w:w="1736" w:type="dxa"/>
            <w:noWrap/>
            <w:vAlign w:val="bottom"/>
          </w:tcPr>
          <w:p w14:paraId="719CF04F" w14:textId="28FD312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5,23%</w:t>
            </w:r>
          </w:p>
        </w:tc>
        <w:tc>
          <w:tcPr>
            <w:tcW w:w="1737" w:type="dxa"/>
            <w:noWrap/>
            <w:vAlign w:val="bottom"/>
          </w:tcPr>
          <w:p w14:paraId="2CBBFE23" w14:textId="14532DC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25FD7FAA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BEDDC8" w14:textId="56104D9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7A4F022B" w14:textId="4A7D5DF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10,38%</w:t>
            </w:r>
          </w:p>
        </w:tc>
        <w:tc>
          <w:tcPr>
            <w:tcW w:w="1737" w:type="dxa"/>
            <w:noWrap/>
            <w:vAlign w:val="bottom"/>
          </w:tcPr>
          <w:p w14:paraId="44131485" w14:textId="468AAAD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10,10%</w:t>
            </w:r>
          </w:p>
        </w:tc>
        <w:tc>
          <w:tcPr>
            <w:tcW w:w="1736" w:type="dxa"/>
            <w:noWrap/>
            <w:vAlign w:val="bottom"/>
          </w:tcPr>
          <w:p w14:paraId="2B07178C" w14:textId="50C8D95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4A1F188C" w14:textId="4446B34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78CB9AD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175735" w14:textId="6758680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5F793371" w14:textId="459AFDE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7,34%</w:t>
            </w:r>
          </w:p>
        </w:tc>
        <w:tc>
          <w:tcPr>
            <w:tcW w:w="1737" w:type="dxa"/>
            <w:noWrap/>
            <w:vAlign w:val="bottom"/>
          </w:tcPr>
          <w:p w14:paraId="47B74FD1" w14:textId="660C47D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7,00%</w:t>
            </w:r>
          </w:p>
        </w:tc>
        <w:tc>
          <w:tcPr>
            <w:tcW w:w="1736" w:type="dxa"/>
            <w:noWrap/>
            <w:vAlign w:val="bottom"/>
          </w:tcPr>
          <w:p w14:paraId="5E7DCFA1" w14:textId="002CB55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1B933100" w14:textId="4E34660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1141994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006C78" w14:textId="4B39E0B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94E1853" w14:textId="066EEF7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6,12%</w:t>
            </w:r>
          </w:p>
        </w:tc>
        <w:tc>
          <w:tcPr>
            <w:tcW w:w="1737" w:type="dxa"/>
            <w:noWrap/>
            <w:vAlign w:val="bottom"/>
          </w:tcPr>
          <w:p w14:paraId="54081519" w14:textId="68E4EB3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3,63%</w:t>
            </w:r>
          </w:p>
        </w:tc>
        <w:tc>
          <w:tcPr>
            <w:tcW w:w="1736" w:type="dxa"/>
            <w:noWrap/>
            <w:vAlign w:val="bottom"/>
          </w:tcPr>
          <w:p w14:paraId="551E3DF7" w14:textId="3121628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2,49%</w:t>
            </w:r>
          </w:p>
        </w:tc>
        <w:tc>
          <w:tcPr>
            <w:tcW w:w="1737" w:type="dxa"/>
            <w:noWrap/>
            <w:vAlign w:val="bottom"/>
          </w:tcPr>
          <w:p w14:paraId="043C1D6D" w14:textId="68CE511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534E56E2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A1A829" w14:textId="4E0A2DC8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0BCFA4D" w14:textId="778B3B9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4,65%</w:t>
            </w:r>
          </w:p>
        </w:tc>
        <w:tc>
          <w:tcPr>
            <w:tcW w:w="1737" w:type="dxa"/>
            <w:noWrap/>
            <w:vAlign w:val="bottom"/>
          </w:tcPr>
          <w:p w14:paraId="6CDB016F" w14:textId="337A7D0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3,09%</w:t>
            </w:r>
          </w:p>
        </w:tc>
        <w:tc>
          <w:tcPr>
            <w:tcW w:w="1736" w:type="dxa"/>
            <w:noWrap/>
            <w:vAlign w:val="bottom"/>
          </w:tcPr>
          <w:p w14:paraId="28D2F8A3" w14:textId="7D1A652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1,55%</w:t>
            </w:r>
          </w:p>
        </w:tc>
        <w:tc>
          <w:tcPr>
            <w:tcW w:w="1737" w:type="dxa"/>
            <w:noWrap/>
            <w:vAlign w:val="bottom"/>
          </w:tcPr>
          <w:p w14:paraId="4099473A" w14:textId="78A7888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08FA1E6B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67FBA2" w14:textId="4E2E349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532D6665" w14:textId="5DA4FEB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3,88%</w:t>
            </w:r>
          </w:p>
        </w:tc>
        <w:tc>
          <w:tcPr>
            <w:tcW w:w="1737" w:type="dxa"/>
            <w:noWrap/>
            <w:vAlign w:val="bottom"/>
          </w:tcPr>
          <w:p w14:paraId="0FBE03F1" w14:textId="1DCD901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2,67%</w:t>
            </w:r>
          </w:p>
        </w:tc>
        <w:tc>
          <w:tcPr>
            <w:tcW w:w="1736" w:type="dxa"/>
            <w:noWrap/>
            <w:vAlign w:val="bottom"/>
          </w:tcPr>
          <w:p w14:paraId="07A9E076" w14:textId="721DD71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7" w:type="dxa"/>
            <w:noWrap/>
            <w:vAlign w:val="bottom"/>
          </w:tcPr>
          <w:p w14:paraId="1B14D348" w14:textId="7DD1562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090C8FA8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6D9741" w14:textId="62E4383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4D509525" w14:textId="684C980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3,71%</w:t>
            </w:r>
          </w:p>
        </w:tc>
        <w:tc>
          <w:tcPr>
            <w:tcW w:w="1737" w:type="dxa"/>
            <w:noWrap/>
            <w:vAlign w:val="bottom"/>
          </w:tcPr>
          <w:p w14:paraId="27768216" w14:textId="5D71116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2,94%</w:t>
            </w:r>
          </w:p>
        </w:tc>
        <w:tc>
          <w:tcPr>
            <w:tcW w:w="1736" w:type="dxa"/>
            <w:noWrap/>
            <w:vAlign w:val="bottom"/>
          </w:tcPr>
          <w:p w14:paraId="08695113" w14:textId="55B61DA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7" w:type="dxa"/>
            <w:noWrap/>
            <w:vAlign w:val="bottom"/>
          </w:tcPr>
          <w:p w14:paraId="4B57F987" w14:textId="469C32B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7DBBEB3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EFCAD1" w14:textId="7153306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274482E7" w14:textId="1F75FFD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3,29%</w:t>
            </w:r>
          </w:p>
        </w:tc>
        <w:tc>
          <w:tcPr>
            <w:tcW w:w="1737" w:type="dxa"/>
            <w:noWrap/>
            <w:vAlign w:val="bottom"/>
          </w:tcPr>
          <w:p w14:paraId="0A5E9CA1" w14:textId="0CE5D71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4,77%</w:t>
            </w:r>
          </w:p>
        </w:tc>
        <w:tc>
          <w:tcPr>
            <w:tcW w:w="1736" w:type="dxa"/>
            <w:noWrap/>
            <w:vAlign w:val="bottom"/>
          </w:tcPr>
          <w:p w14:paraId="6AAB959E" w14:textId="687884D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-1,48%</w:t>
            </w:r>
          </w:p>
        </w:tc>
        <w:tc>
          <w:tcPr>
            <w:tcW w:w="1737" w:type="dxa"/>
            <w:noWrap/>
            <w:vAlign w:val="bottom"/>
          </w:tcPr>
          <w:p w14:paraId="5397B307" w14:textId="728CE18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2540C99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3B3E06" w14:textId="21B4E57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4C74A10" w14:textId="33D2DB0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2,41%</w:t>
            </w:r>
          </w:p>
        </w:tc>
        <w:tc>
          <w:tcPr>
            <w:tcW w:w="1737" w:type="dxa"/>
            <w:noWrap/>
            <w:vAlign w:val="bottom"/>
          </w:tcPr>
          <w:p w14:paraId="7C713880" w14:textId="3B2926C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2,70%</w:t>
            </w:r>
          </w:p>
        </w:tc>
        <w:tc>
          <w:tcPr>
            <w:tcW w:w="1736" w:type="dxa"/>
            <w:noWrap/>
            <w:vAlign w:val="bottom"/>
          </w:tcPr>
          <w:p w14:paraId="1E918DE6" w14:textId="34C1A9F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-0,29%</w:t>
            </w:r>
          </w:p>
        </w:tc>
        <w:tc>
          <w:tcPr>
            <w:tcW w:w="1737" w:type="dxa"/>
            <w:noWrap/>
            <w:vAlign w:val="bottom"/>
          </w:tcPr>
          <w:p w14:paraId="50FD6CB9" w14:textId="04A1298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7FB7F4E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81FA79" w14:textId="35C271D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3272C747" w14:textId="7F950FA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2,10%</w:t>
            </w:r>
          </w:p>
        </w:tc>
        <w:tc>
          <w:tcPr>
            <w:tcW w:w="1737" w:type="dxa"/>
            <w:noWrap/>
            <w:vAlign w:val="bottom"/>
          </w:tcPr>
          <w:p w14:paraId="7853C808" w14:textId="14856FE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1,60%</w:t>
            </w:r>
          </w:p>
        </w:tc>
        <w:tc>
          <w:tcPr>
            <w:tcW w:w="1736" w:type="dxa"/>
            <w:noWrap/>
            <w:vAlign w:val="bottom"/>
          </w:tcPr>
          <w:p w14:paraId="412DC18F" w14:textId="5E21BCD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0,49%</w:t>
            </w:r>
          </w:p>
        </w:tc>
        <w:tc>
          <w:tcPr>
            <w:tcW w:w="1737" w:type="dxa"/>
            <w:noWrap/>
            <w:vAlign w:val="bottom"/>
          </w:tcPr>
          <w:p w14:paraId="13675F19" w14:textId="4F5757F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567F495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3A61C9" w14:textId="64D70F0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0DC63437" w14:textId="2968470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1,57%</w:t>
            </w:r>
          </w:p>
        </w:tc>
        <w:tc>
          <w:tcPr>
            <w:tcW w:w="1737" w:type="dxa"/>
            <w:noWrap/>
            <w:vAlign w:val="bottom"/>
          </w:tcPr>
          <w:p w14:paraId="07CDCD71" w14:textId="207995F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6" w:type="dxa"/>
            <w:noWrap/>
            <w:vAlign w:val="bottom"/>
          </w:tcPr>
          <w:p w14:paraId="7D4F2903" w14:textId="737ABD9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1,13%</w:t>
            </w:r>
          </w:p>
        </w:tc>
        <w:tc>
          <w:tcPr>
            <w:tcW w:w="1737" w:type="dxa"/>
            <w:noWrap/>
            <w:vAlign w:val="bottom"/>
          </w:tcPr>
          <w:p w14:paraId="60E5446F" w14:textId="46C8C8D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01BB6074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2D6179" w14:textId="1FCD986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24015B1E" w14:textId="2D5B848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1,10%</w:t>
            </w:r>
          </w:p>
        </w:tc>
        <w:tc>
          <w:tcPr>
            <w:tcW w:w="1737" w:type="dxa"/>
            <w:noWrap/>
            <w:vAlign w:val="bottom"/>
          </w:tcPr>
          <w:p w14:paraId="631140A0" w14:textId="2AF7E6D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1,28%</w:t>
            </w:r>
          </w:p>
        </w:tc>
        <w:tc>
          <w:tcPr>
            <w:tcW w:w="1736" w:type="dxa"/>
            <w:noWrap/>
            <w:vAlign w:val="bottom"/>
          </w:tcPr>
          <w:p w14:paraId="27E912D8" w14:textId="0360927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-0,18%</w:t>
            </w:r>
          </w:p>
        </w:tc>
        <w:tc>
          <w:tcPr>
            <w:tcW w:w="1737" w:type="dxa"/>
            <w:noWrap/>
            <w:vAlign w:val="bottom"/>
          </w:tcPr>
          <w:p w14:paraId="33849E58" w14:textId="2AE095F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17A6805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6FE463" w14:textId="04E5BBF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3B995DD1" w14:textId="7C688BA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7" w:type="dxa"/>
            <w:noWrap/>
            <w:vAlign w:val="bottom"/>
          </w:tcPr>
          <w:p w14:paraId="05B10013" w14:textId="51C37EB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6" w:type="dxa"/>
            <w:noWrap/>
            <w:vAlign w:val="bottom"/>
          </w:tcPr>
          <w:p w14:paraId="725C8555" w14:textId="53E0C03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2740311" w14:textId="7039FAD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0B4D847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954E6F" w14:textId="7B59825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FEEDC35" w14:textId="33EA3B4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0,89%</w:t>
            </w:r>
          </w:p>
        </w:tc>
        <w:tc>
          <w:tcPr>
            <w:tcW w:w="1737" w:type="dxa"/>
            <w:noWrap/>
            <w:vAlign w:val="bottom"/>
          </w:tcPr>
          <w:p w14:paraId="2982959A" w14:textId="3BF07CB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6" w:type="dxa"/>
            <w:noWrap/>
            <w:vAlign w:val="bottom"/>
          </w:tcPr>
          <w:p w14:paraId="11B1FF34" w14:textId="13EC55B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7" w:type="dxa"/>
            <w:noWrap/>
            <w:vAlign w:val="bottom"/>
          </w:tcPr>
          <w:p w14:paraId="74982197" w14:textId="6CA1F96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434C35D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7DE636D" w14:textId="1CEA5BD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699922EA" w14:textId="65D1CBD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32DD4E70" w14:textId="3C85488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1,26%</w:t>
            </w:r>
          </w:p>
        </w:tc>
        <w:tc>
          <w:tcPr>
            <w:tcW w:w="1736" w:type="dxa"/>
            <w:noWrap/>
            <w:vAlign w:val="bottom"/>
          </w:tcPr>
          <w:p w14:paraId="6F16F9F3" w14:textId="603B311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-0,42%</w:t>
            </w:r>
          </w:p>
        </w:tc>
        <w:tc>
          <w:tcPr>
            <w:tcW w:w="1737" w:type="dxa"/>
            <w:noWrap/>
            <w:vAlign w:val="bottom"/>
          </w:tcPr>
          <w:p w14:paraId="5F7FC242" w14:textId="59D709F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13A49B6D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DBB61F5" w14:textId="29A6DF1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8A9EBD0" w14:textId="01C9475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0,75%</w:t>
            </w:r>
          </w:p>
        </w:tc>
        <w:tc>
          <w:tcPr>
            <w:tcW w:w="1737" w:type="dxa"/>
            <w:noWrap/>
            <w:vAlign w:val="bottom"/>
          </w:tcPr>
          <w:p w14:paraId="29C87569" w14:textId="21C2306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6" w:type="dxa"/>
            <w:noWrap/>
            <w:vAlign w:val="bottom"/>
          </w:tcPr>
          <w:p w14:paraId="0A4D17E3" w14:textId="31C8369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-0,15%</w:t>
            </w:r>
          </w:p>
        </w:tc>
        <w:tc>
          <w:tcPr>
            <w:tcW w:w="1737" w:type="dxa"/>
            <w:noWrap/>
            <w:vAlign w:val="bottom"/>
          </w:tcPr>
          <w:p w14:paraId="4A9A11AB" w14:textId="68E4094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19E19E7C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EB50F5" w14:textId="0F45371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A8D8EDC" w14:textId="6D5E898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0,46%</w:t>
            </w:r>
          </w:p>
        </w:tc>
        <w:tc>
          <w:tcPr>
            <w:tcW w:w="1737" w:type="dxa"/>
            <w:noWrap/>
            <w:vAlign w:val="bottom"/>
          </w:tcPr>
          <w:p w14:paraId="03AE6F2F" w14:textId="5ECFC22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6" w:type="dxa"/>
            <w:noWrap/>
            <w:vAlign w:val="bottom"/>
          </w:tcPr>
          <w:p w14:paraId="55EC08B5" w14:textId="635873F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5B16EF27" w14:textId="53649E3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1BD02A29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89C36D" w14:textId="7283CFA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631B1845" w14:textId="651A6A4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217EE9A8" w14:textId="416CAC9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6" w:type="dxa"/>
            <w:noWrap/>
            <w:vAlign w:val="bottom"/>
          </w:tcPr>
          <w:p w14:paraId="1CD69CAA" w14:textId="0125110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7044D5EF" w14:textId="060B88B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32BA508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EE35F2" w14:textId="0388DDC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1C985098" w14:textId="34AFEB1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1A589C3B" w14:textId="5BDAD83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46E4213" w14:textId="75A51B2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24E9A70C" w14:textId="5A0FA65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26347" w:rsidRPr="00AF18EC" w14:paraId="70090EB9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B0045D" w14:textId="256C7B1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BA43BE6" w14:textId="4DBA2ED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169AD7C6" w14:textId="7AA4BF8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4D548C17" w14:textId="1D53B54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3F8F1AEF" w14:textId="2F5EDAC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26347" w:rsidRPr="00AF18EC" w14:paraId="733F581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86CF7C" w14:textId="64FC110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1CD2A0B1" w14:textId="3525583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576B5534" w14:textId="74B5EB5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4BB0A0DA" w14:textId="0211DBF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5217B9CA" w14:textId="022F921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26347" w:rsidRPr="00AF18EC" w14:paraId="79131C5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2459A7" w14:textId="7603E7D3" w:rsidR="00D26347" w:rsidRPr="003E6111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6D904517" w14:textId="0EE18356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52B772FF" w14:textId="7C78259F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62C3935A" w14:textId="28484B7C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3F8C10F" w14:textId="78849E4C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26347" w:rsidRPr="00AF18EC" w14:paraId="5ECB59FE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33F34D" w14:textId="36CD3A60" w:rsidR="00D26347" w:rsidRPr="003E6111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D09B0CD" w14:textId="7FEA7A9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7D0B4F6" w14:textId="5ACCDA95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CBB3163" w14:textId="38DE6955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4626BB8" w14:textId="5BFAA02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6111" w:rsidRPr="00AF18EC" w14:paraId="3591F9E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A48518C" w14:textId="2BDC1208" w:rsidR="003E6111" w:rsidRPr="003E6111" w:rsidRDefault="003E6111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6D2D66" w14:textId="51119DB5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7344C0" w14:textId="345F8F85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721310B" w14:textId="3865CC68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F637525" w14:textId="3158D811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6111" w:rsidRPr="00AF18EC" w14:paraId="6CD48D9D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C2D47F2" w14:textId="278BD287" w:rsidR="003E6111" w:rsidRPr="003E6111" w:rsidRDefault="003E6111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02DE2C3" w14:textId="286AE2CE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611021" w14:textId="7E309256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5B4B229" w14:textId="578E03B1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0237F3A" w14:textId="34AC7840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6111" w:rsidRPr="00AF18EC" w14:paraId="43D2036D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149AD0F" w14:textId="364E855A" w:rsidR="003E6111" w:rsidRPr="003E6111" w:rsidRDefault="003E6111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280E566" w14:textId="021D3A34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ED68CC" w14:textId="127DE094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FDA45EF" w14:textId="50ACDBED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3B9A3E9" w14:textId="3A1848C7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6111" w:rsidRPr="00AF18EC" w14:paraId="58F937EE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ADA4802" w14:textId="2412D0EC" w:rsidR="003E6111" w:rsidRPr="003E6111" w:rsidRDefault="003E6111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30965A5" w14:textId="0D662E81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A8D3A98" w14:textId="4A99E800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70D8FEC" w14:textId="33CC95C1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56F4C7" w14:textId="7D5EAAD5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6111" w:rsidRPr="00AF18EC" w14:paraId="625BAA2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BE383CB" w14:textId="216A1C88" w:rsidR="003E6111" w:rsidRPr="003E6111" w:rsidRDefault="003E6111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243F6E3" w14:textId="286763BD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632AEB" w14:textId="56E19D96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B726C02" w14:textId="0931CF12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FA6857B" w14:textId="00E5C135" w:rsidR="003E6111" w:rsidRPr="003E6111" w:rsidRDefault="003E6111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30CE154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19B9EB7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A24B8AE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CDE21F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E68A34B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F4D3A9A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6B99" w:rsidRPr="00AF18EC" w14:paraId="5B74BF47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D138E93" w14:textId="77777777" w:rsidR="00706B99" w:rsidRPr="00E346DA" w:rsidRDefault="00706B99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2517D50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B412CB9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5D73B2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2C603C" w14:textId="77777777" w:rsidR="00706B99" w:rsidRPr="00E346DA" w:rsidRDefault="00706B99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21EDCAD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8DAECB2" w14:textId="20C86965" w:rsidR="00D26347" w:rsidRPr="00E346DA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E346DA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71B743B3" w14:textId="037C059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91,74%</w:t>
            </w:r>
          </w:p>
        </w:tc>
        <w:tc>
          <w:tcPr>
            <w:tcW w:w="1737" w:type="dxa"/>
            <w:noWrap/>
            <w:vAlign w:val="bottom"/>
          </w:tcPr>
          <w:p w14:paraId="1EAD1E78" w14:textId="47EF35A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78,43%</w:t>
            </w:r>
          </w:p>
        </w:tc>
        <w:tc>
          <w:tcPr>
            <w:tcW w:w="1736" w:type="dxa"/>
            <w:noWrap/>
            <w:vAlign w:val="center"/>
          </w:tcPr>
          <w:p w14:paraId="72769F8F" w14:textId="77777777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BD4131B" w14:textId="7FDB729A" w:rsidR="00D26347" w:rsidRPr="00E346DA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A8BD115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0E0DBD6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D5E65F9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97AFB5D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E0A0D0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2A1C09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26764C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3914DE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8657DB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93B7A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5FA79E2" w14:textId="77777777" w:rsidR="00706B99" w:rsidRDefault="00706B99" w:rsidP="00706B99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EXTRAMOT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5522AD9D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3E36B06E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E6B4A0F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504FC1C" w14:textId="4FAF398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0B48B623" w14:textId="6B93433F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7F8008C5" w14:textId="71E059D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2359681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1A97D3E" w14:textId="1CDBA5B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2142AE9E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1B3DEF" w14:textId="101991B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723C8B9" w14:textId="3FF90C8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19,36%</w:t>
            </w:r>
          </w:p>
        </w:tc>
        <w:tc>
          <w:tcPr>
            <w:tcW w:w="1737" w:type="dxa"/>
            <w:noWrap/>
            <w:vAlign w:val="bottom"/>
          </w:tcPr>
          <w:p w14:paraId="12D84550" w14:textId="50625D1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14,79%</w:t>
            </w:r>
          </w:p>
        </w:tc>
        <w:tc>
          <w:tcPr>
            <w:tcW w:w="1736" w:type="dxa"/>
            <w:noWrap/>
            <w:vAlign w:val="bottom"/>
          </w:tcPr>
          <w:p w14:paraId="0DE7DB51" w14:textId="689A81E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4,57%</w:t>
            </w:r>
          </w:p>
        </w:tc>
        <w:tc>
          <w:tcPr>
            <w:tcW w:w="1737" w:type="dxa"/>
            <w:noWrap/>
            <w:vAlign w:val="bottom"/>
          </w:tcPr>
          <w:p w14:paraId="12D57052" w14:textId="0A76D53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73E6B6AA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631990D" w14:textId="0BDD4A7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07C93D4D" w14:textId="437F4BC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14,88%</w:t>
            </w:r>
          </w:p>
        </w:tc>
        <w:tc>
          <w:tcPr>
            <w:tcW w:w="1737" w:type="dxa"/>
            <w:noWrap/>
            <w:vAlign w:val="bottom"/>
          </w:tcPr>
          <w:p w14:paraId="4E416194" w14:textId="058B6EEF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13,86%</w:t>
            </w:r>
          </w:p>
        </w:tc>
        <w:tc>
          <w:tcPr>
            <w:tcW w:w="1736" w:type="dxa"/>
            <w:noWrap/>
            <w:vAlign w:val="bottom"/>
          </w:tcPr>
          <w:p w14:paraId="3D4943DB" w14:textId="512B858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1,02%</w:t>
            </w:r>
          </w:p>
        </w:tc>
        <w:tc>
          <w:tcPr>
            <w:tcW w:w="1737" w:type="dxa"/>
            <w:noWrap/>
            <w:vAlign w:val="bottom"/>
          </w:tcPr>
          <w:p w14:paraId="3EBD0146" w14:textId="0DAEDA4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06D1B6DF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FA8899" w14:textId="07F777E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4A5744B3" w14:textId="3BC0C58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13,78%</w:t>
            </w:r>
          </w:p>
        </w:tc>
        <w:tc>
          <w:tcPr>
            <w:tcW w:w="1737" w:type="dxa"/>
            <w:noWrap/>
            <w:vAlign w:val="bottom"/>
          </w:tcPr>
          <w:p w14:paraId="10F36F41" w14:textId="6D6653E8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10,13%</w:t>
            </w:r>
          </w:p>
        </w:tc>
        <w:tc>
          <w:tcPr>
            <w:tcW w:w="1736" w:type="dxa"/>
            <w:noWrap/>
            <w:vAlign w:val="bottom"/>
          </w:tcPr>
          <w:p w14:paraId="65FFDD7D" w14:textId="09ADEE42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3,65%</w:t>
            </w:r>
          </w:p>
        </w:tc>
        <w:tc>
          <w:tcPr>
            <w:tcW w:w="1737" w:type="dxa"/>
            <w:noWrap/>
            <w:vAlign w:val="bottom"/>
          </w:tcPr>
          <w:p w14:paraId="23E0EC30" w14:textId="709A20EE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195BCC5B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613CCA" w14:textId="63EE4B3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4B65D890" w14:textId="47C74CA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13,11%</w:t>
            </w:r>
          </w:p>
        </w:tc>
        <w:tc>
          <w:tcPr>
            <w:tcW w:w="1737" w:type="dxa"/>
            <w:noWrap/>
            <w:vAlign w:val="bottom"/>
          </w:tcPr>
          <w:p w14:paraId="1D31FB95" w14:textId="43D5535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13,30%</w:t>
            </w:r>
          </w:p>
        </w:tc>
        <w:tc>
          <w:tcPr>
            <w:tcW w:w="1736" w:type="dxa"/>
            <w:noWrap/>
            <w:vAlign w:val="bottom"/>
          </w:tcPr>
          <w:p w14:paraId="218D52DB" w14:textId="69EA861E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-0,19%</w:t>
            </w:r>
          </w:p>
        </w:tc>
        <w:tc>
          <w:tcPr>
            <w:tcW w:w="1737" w:type="dxa"/>
            <w:noWrap/>
            <w:vAlign w:val="bottom"/>
          </w:tcPr>
          <w:p w14:paraId="45B05939" w14:textId="65282D7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4F9E4DAF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BB8111" w14:textId="51656F78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1536A5A" w14:textId="3B7239B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7,09%</w:t>
            </w:r>
          </w:p>
        </w:tc>
        <w:tc>
          <w:tcPr>
            <w:tcW w:w="1737" w:type="dxa"/>
            <w:noWrap/>
            <w:vAlign w:val="bottom"/>
          </w:tcPr>
          <w:p w14:paraId="3823DE3B" w14:textId="281DFE2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5,22%</w:t>
            </w:r>
          </w:p>
        </w:tc>
        <w:tc>
          <w:tcPr>
            <w:tcW w:w="1736" w:type="dxa"/>
            <w:noWrap/>
            <w:vAlign w:val="bottom"/>
          </w:tcPr>
          <w:p w14:paraId="5311479D" w14:textId="21AACBC6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1,87%</w:t>
            </w:r>
          </w:p>
        </w:tc>
        <w:tc>
          <w:tcPr>
            <w:tcW w:w="1737" w:type="dxa"/>
            <w:noWrap/>
            <w:vAlign w:val="bottom"/>
          </w:tcPr>
          <w:p w14:paraId="58F52521" w14:textId="30581C9C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3B141BB4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7172598" w14:textId="3F4E508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1E09E4BB" w14:textId="3A75472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2,46%</w:t>
            </w:r>
          </w:p>
        </w:tc>
        <w:tc>
          <w:tcPr>
            <w:tcW w:w="1737" w:type="dxa"/>
            <w:noWrap/>
            <w:vAlign w:val="bottom"/>
          </w:tcPr>
          <w:p w14:paraId="7C98895C" w14:textId="40378EC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3,02%</w:t>
            </w:r>
          </w:p>
        </w:tc>
        <w:tc>
          <w:tcPr>
            <w:tcW w:w="1736" w:type="dxa"/>
            <w:noWrap/>
            <w:vAlign w:val="bottom"/>
          </w:tcPr>
          <w:p w14:paraId="02DA8DCE" w14:textId="2E6CC8C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-0,56%</w:t>
            </w:r>
          </w:p>
        </w:tc>
        <w:tc>
          <w:tcPr>
            <w:tcW w:w="1737" w:type="dxa"/>
            <w:noWrap/>
            <w:vAlign w:val="bottom"/>
          </w:tcPr>
          <w:p w14:paraId="157EC339" w14:textId="1E5E358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5E19D38D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77A980" w14:textId="1F387CB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42AE5690" w14:textId="55148DC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2,14%</w:t>
            </w:r>
          </w:p>
        </w:tc>
        <w:tc>
          <w:tcPr>
            <w:tcW w:w="1737" w:type="dxa"/>
            <w:noWrap/>
            <w:vAlign w:val="bottom"/>
          </w:tcPr>
          <w:p w14:paraId="353B9B98" w14:textId="109018B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5,00%</w:t>
            </w:r>
          </w:p>
        </w:tc>
        <w:tc>
          <w:tcPr>
            <w:tcW w:w="1736" w:type="dxa"/>
            <w:noWrap/>
            <w:vAlign w:val="bottom"/>
          </w:tcPr>
          <w:p w14:paraId="4ACCE26C" w14:textId="030FC20D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-2,86%</w:t>
            </w:r>
          </w:p>
        </w:tc>
        <w:tc>
          <w:tcPr>
            <w:tcW w:w="1737" w:type="dxa"/>
            <w:noWrap/>
            <w:vAlign w:val="bottom"/>
          </w:tcPr>
          <w:p w14:paraId="311718A9" w14:textId="0E94235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57A606A7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D59EFE" w14:textId="641CD0C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614136C9" w14:textId="4081F25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1,80%</w:t>
            </w:r>
          </w:p>
        </w:tc>
        <w:tc>
          <w:tcPr>
            <w:tcW w:w="1737" w:type="dxa"/>
            <w:noWrap/>
            <w:vAlign w:val="bottom"/>
          </w:tcPr>
          <w:p w14:paraId="1DDFA5EC" w14:textId="543A556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2,74%</w:t>
            </w:r>
          </w:p>
        </w:tc>
        <w:tc>
          <w:tcPr>
            <w:tcW w:w="1736" w:type="dxa"/>
            <w:noWrap/>
            <w:vAlign w:val="bottom"/>
          </w:tcPr>
          <w:p w14:paraId="27ED0D9A" w14:textId="5CEB6F4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-0,94%</w:t>
            </w:r>
          </w:p>
        </w:tc>
        <w:tc>
          <w:tcPr>
            <w:tcW w:w="1737" w:type="dxa"/>
            <w:noWrap/>
            <w:vAlign w:val="bottom"/>
          </w:tcPr>
          <w:p w14:paraId="4C2F8FA2" w14:textId="4F18608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2671FD70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5A157A" w14:textId="753C69F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75F6B6DE" w14:textId="29BB29A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1,64%</w:t>
            </w:r>
          </w:p>
        </w:tc>
        <w:tc>
          <w:tcPr>
            <w:tcW w:w="1737" w:type="dxa"/>
            <w:noWrap/>
            <w:vAlign w:val="bottom"/>
          </w:tcPr>
          <w:p w14:paraId="14D262C7" w14:textId="0C392F81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1,69%</w:t>
            </w:r>
          </w:p>
        </w:tc>
        <w:tc>
          <w:tcPr>
            <w:tcW w:w="1736" w:type="dxa"/>
            <w:noWrap/>
            <w:vAlign w:val="bottom"/>
          </w:tcPr>
          <w:p w14:paraId="66243725" w14:textId="08E020D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166471E4" w14:textId="195780D7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2ED8C27C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E1481B5" w14:textId="4CF6713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73C0FCA7" w14:textId="25619B1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1,51%</w:t>
            </w:r>
          </w:p>
        </w:tc>
        <w:tc>
          <w:tcPr>
            <w:tcW w:w="1737" w:type="dxa"/>
            <w:noWrap/>
            <w:vAlign w:val="bottom"/>
          </w:tcPr>
          <w:p w14:paraId="4DA99544" w14:textId="2C880BA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2,71%</w:t>
            </w:r>
          </w:p>
        </w:tc>
        <w:tc>
          <w:tcPr>
            <w:tcW w:w="1736" w:type="dxa"/>
            <w:noWrap/>
            <w:vAlign w:val="bottom"/>
          </w:tcPr>
          <w:p w14:paraId="7DD0429E" w14:textId="7A343CB7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-1,20%</w:t>
            </w:r>
          </w:p>
        </w:tc>
        <w:tc>
          <w:tcPr>
            <w:tcW w:w="1737" w:type="dxa"/>
            <w:noWrap/>
            <w:vAlign w:val="bottom"/>
          </w:tcPr>
          <w:p w14:paraId="39989D56" w14:textId="410A2F0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70F468E1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CA9EB82" w14:textId="3CB9A88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2DBCB99D" w14:textId="16CFA52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1,38%</w:t>
            </w:r>
          </w:p>
        </w:tc>
        <w:tc>
          <w:tcPr>
            <w:tcW w:w="1737" w:type="dxa"/>
            <w:noWrap/>
            <w:vAlign w:val="bottom"/>
          </w:tcPr>
          <w:p w14:paraId="3C297847" w14:textId="36FE78A5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2,98%</w:t>
            </w:r>
          </w:p>
        </w:tc>
        <w:tc>
          <w:tcPr>
            <w:tcW w:w="1736" w:type="dxa"/>
            <w:noWrap/>
            <w:vAlign w:val="bottom"/>
          </w:tcPr>
          <w:p w14:paraId="1DF81722" w14:textId="5B67185F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-1,60%</w:t>
            </w:r>
          </w:p>
        </w:tc>
        <w:tc>
          <w:tcPr>
            <w:tcW w:w="1737" w:type="dxa"/>
            <w:noWrap/>
            <w:vAlign w:val="bottom"/>
          </w:tcPr>
          <w:p w14:paraId="519C36F0" w14:textId="1D1EEAD3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27315378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687BD1" w14:textId="4623733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2262F956" w14:textId="590831F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1,23%</w:t>
            </w:r>
          </w:p>
        </w:tc>
        <w:tc>
          <w:tcPr>
            <w:tcW w:w="1737" w:type="dxa"/>
            <w:noWrap/>
            <w:vAlign w:val="bottom"/>
          </w:tcPr>
          <w:p w14:paraId="4A042E2F" w14:textId="2A72A06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0,82%</w:t>
            </w:r>
          </w:p>
        </w:tc>
        <w:tc>
          <w:tcPr>
            <w:tcW w:w="1736" w:type="dxa"/>
            <w:noWrap/>
            <w:vAlign w:val="bottom"/>
          </w:tcPr>
          <w:p w14:paraId="1D6CA807" w14:textId="0A80AC65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0,41%</w:t>
            </w:r>
          </w:p>
        </w:tc>
        <w:tc>
          <w:tcPr>
            <w:tcW w:w="1737" w:type="dxa"/>
            <w:noWrap/>
            <w:vAlign w:val="bottom"/>
          </w:tcPr>
          <w:p w14:paraId="6C76DE0C" w14:textId="056266C7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6AE8B835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A5BE5A8" w14:textId="2B0D89B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22862750" w14:textId="41698F9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7" w:type="dxa"/>
            <w:noWrap/>
            <w:vAlign w:val="bottom"/>
          </w:tcPr>
          <w:p w14:paraId="0F9EF445" w14:textId="09B5963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600DA420" w14:textId="16500B48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7" w:type="dxa"/>
            <w:noWrap/>
            <w:vAlign w:val="bottom"/>
          </w:tcPr>
          <w:p w14:paraId="065E4E26" w14:textId="17CD7A16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26347" w:rsidRPr="00AF18EC" w14:paraId="34BA3384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EFB021" w14:textId="40D168E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1244CAF7" w14:textId="3CB2F1C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7" w:type="dxa"/>
            <w:noWrap/>
            <w:vAlign w:val="bottom"/>
          </w:tcPr>
          <w:p w14:paraId="742B2BA3" w14:textId="37F293DF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6" w:type="dxa"/>
            <w:noWrap/>
            <w:vAlign w:val="bottom"/>
          </w:tcPr>
          <w:p w14:paraId="3735F81D" w14:textId="701FA268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2C7C3997" w14:textId="08A66C2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3D5E9882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572ABD" w14:textId="73904ED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390F820E" w14:textId="022C6D5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7" w:type="dxa"/>
            <w:noWrap/>
            <w:vAlign w:val="bottom"/>
          </w:tcPr>
          <w:p w14:paraId="22FD346B" w14:textId="7D6A5154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0,69%</w:t>
            </w:r>
          </w:p>
        </w:tc>
        <w:tc>
          <w:tcPr>
            <w:tcW w:w="1736" w:type="dxa"/>
            <w:noWrap/>
            <w:vAlign w:val="bottom"/>
          </w:tcPr>
          <w:p w14:paraId="66D0C4D6" w14:textId="72BEF75B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721C2905" w14:textId="232447EF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03CD7C59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10D7815" w14:textId="41E868A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2CC4BB0F" w14:textId="0C02A2F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7" w:type="dxa"/>
            <w:noWrap/>
            <w:vAlign w:val="bottom"/>
          </w:tcPr>
          <w:p w14:paraId="12490AFD" w14:textId="5C317860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1,08%</w:t>
            </w:r>
          </w:p>
        </w:tc>
        <w:tc>
          <w:tcPr>
            <w:tcW w:w="1736" w:type="dxa"/>
            <w:noWrap/>
            <w:vAlign w:val="bottom"/>
          </w:tcPr>
          <w:p w14:paraId="17374BE7" w14:textId="70E3D4A3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-0,31%</w:t>
            </w:r>
          </w:p>
        </w:tc>
        <w:tc>
          <w:tcPr>
            <w:tcW w:w="1737" w:type="dxa"/>
            <w:noWrap/>
            <w:vAlign w:val="bottom"/>
          </w:tcPr>
          <w:p w14:paraId="3F67950A" w14:textId="6F616247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16E2B268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282264" w14:textId="060441B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7BC6226" w14:textId="6C5AEAE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7" w:type="dxa"/>
            <w:noWrap/>
            <w:vAlign w:val="bottom"/>
          </w:tcPr>
          <w:p w14:paraId="610DFD2E" w14:textId="76F30B7D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6" w:type="dxa"/>
            <w:noWrap/>
            <w:vAlign w:val="bottom"/>
          </w:tcPr>
          <w:p w14:paraId="70B6C272" w14:textId="650CBD9C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2E4E8F78" w14:textId="34D2E59C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66A91DAC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E30205" w14:textId="19BF66A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4CD1432C" w14:textId="5ED17AA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7" w:type="dxa"/>
            <w:noWrap/>
            <w:vAlign w:val="bottom"/>
          </w:tcPr>
          <w:p w14:paraId="130AC228" w14:textId="255BCAD7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6" w:type="dxa"/>
            <w:noWrap/>
            <w:vAlign w:val="bottom"/>
          </w:tcPr>
          <w:p w14:paraId="1EC743D6" w14:textId="4D814FFA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D823145" w14:textId="74E61AA9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0C9BDEAB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0E44820" w14:textId="3A99B45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50AF91AC" w14:textId="35A92E1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7A74471A" w14:textId="36596406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6" w:type="dxa"/>
            <w:noWrap/>
            <w:vAlign w:val="bottom"/>
          </w:tcPr>
          <w:p w14:paraId="59D8B105" w14:textId="1E5EFAD8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690C0154" w14:textId="3CCA00F1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41E469E3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2B9EFDB" w14:textId="2C92FA8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42338511" w14:textId="1DA24392" w:rsidR="00D26347" w:rsidRPr="00A7663C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4D84B537" w14:textId="7506FDCB" w:rsidR="00D26347" w:rsidRPr="00A7663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7728E93A" w14:textId="28435912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0,35%</w:t>
            </w:r>
          </w:p>
        </w:tc>
        <w:tc>
          <w:tcPr>
            <w:tcW w:w="1737" w:type="dxa"/>
            <w:noWrap/>
            <w:vAlign w:val="bottom"/>
          </w:tcPr>
          <w:p w14:paraId="778845A3" w14:textId="3ABCD8FD" w:rsidR="00D26347" w:rsidRPr="003E6111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D26347" w:rsidRPr="00AF18EC" w14:paraId="3FA1E948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BF040D" w14:textId="79DD2664" w:rsidR="00D26347" w:rsidRPr="00A47480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250B57B7" w14:textId="3416CB48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3F30DE06" w14:textId="698153DC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6" w:type="dxa"/>
            <w:noWrap/>
            <w:vAlign w:val="bottom"/>
          </w:tcPr>
          <w:p w14:paraId="50C25E27" w14:textId="217AFC6F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4BA2CD11" w14:textId="0632FC2E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5303E4CC" w14:textId="77777777" w:rsidTr="00D263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7F3C68" w14:textId="77777777" w:rsidR="00D26347" w:rsidRPr="00A47480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93D4609" w14:textId="0FD3B006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EB4A275" w14:textId="6E1752E3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2C93E85" w14:textId="77777777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D7029E3" w14:textId="77777777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9B03ED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76D5647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893B86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6166D15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563AFC5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C5AFD31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DBF1A3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96738EF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0014A6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624E678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AA4BFB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031B37A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94B898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75ED54E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C29D2E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8C98EB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BD367C9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8413999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09549D3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1E81646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AB5C8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C09DD31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1779073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ED319D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BF14D32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A3DF746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644072D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AD445E1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C899E62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68DE0AE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234EF0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32B7D22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66C78DC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658555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3B8FFEB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3EC5BD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D05AFD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3C2B3B0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F74401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CC0521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2ED9B1A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06425A9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328A06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E37B714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A774A4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D69D26C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FBA5566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6AED90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5A2BDF2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89E6941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038DAA7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28EBB2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CE6D9E3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41CB95" w14:textId="77777777" w:rsidR="00654DC4" w:rsidRPr="00AF18EC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70976FEA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01DCF8F" w14:textId="77777777" w:rsidR="00D26347" w:rsidRPr="00A47480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47480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72B097B5" w14:textId="5555873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86,60%</w:t>
            </w:r>
          </w:p>
        </w:tc>
        <w:tc>
          <w:tcPr>
            <w:tcW w:w="1737" w:type="dxa"/>
            <w:noWrap/>
            <w:vAlign w:val="bottom"/>
          </w:tcPr>
          <w:p w14:paraId="7BB8F722" w14:textId="4D30177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76,39%</w:t>
            </w:r>
          </w:p>
        </w:tc>
        <w:tc>
          <w:tcPr>
            <w:tcW w:w="1736" w:type="dxa"/>
            <w:noWrap/>
            <w:vAlign w:val="center"/>
          </w:tcPr>
          <w:p w14:paraId="01EDC147" w14:textId="77777777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91C5FE4" w14:textId="77777777" w:rsidR="00D26347" w:rsidRPr="00AF18EC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CAD5CCA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1CDAA18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A03262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5DC3C74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D07F925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5EDD37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FD63999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86C736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3951C6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A7056CA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2BE7161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 xml:space="preserve">SEDEX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7F106296" w14:textId="77777777" w:rsidR="00706B99" w:rsidRDefault="00706B99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60A67AC6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2A31838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5E4DC69" w14:textId="5AD9C18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27E8673C" w14:textId="4DEC719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19CD4064" w14:textId="393DF5D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3E451A97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C8CCD23" w14:textId="7C19E71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13C8C07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C0ED92" w14:textId="332AC8D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D66EC9B" w14:textId="0B66FBE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18,38%</w:t>
            </w:r>
          </w:p>
        </w:tc>
        <w:tc>
          <w:tcPr>
            <w:tcW w:w="1737" w:type="dxa"/>
            <w:noWrap/>
            <w:vAlign w:val="bottom"/>
          </w:tcPr>
          <w:p w14:paraId="108FC5D0" w14:textId="08DB928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15,22%</w:t>
            </w:r>
          </w:p>
        </w:tc>
        <w:tc>
          <w:tcPr>
            <w:tcW w:w="1736" w:type="dxa"/>
            <w:noWrap/>
            <w:vAlign w:val="bottom"/>
          </w:tcPr>
          <w:p w14:paraId="76A46552" w14:textId="6A923B2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3,16%</w:t>
            </w:r>
          </w:p>
        </w:tc>
        <w:tc>
          <w:tcPr>
            <w:tcW w:w="1737" w:type="dxa"/>
            <w:noWrap/>
            <w:vAlign w:val="bottom"/>
          </w:tcPr>
          <w:p w14:paraId="1BCFF3CD" w14:textId="06F46B1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52A80DC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78B4EAC" w14:textId="69BDFB7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655E8FC" w14:textId="3866075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11,84%</w:t>
            </w:r>
          </w:p>
        </w:tc>
        <w:tc>
          <w:tcPr>
            <w:tcW w:w="1737" w:type="dxa"/>
            <w:noWrap/>
            <w:vAlign w:val="bottom"/>
          </w:tcPr>
          <w:p w14:paraId="38D7F6D8" w14:textId="3D33492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12,65%</w:t>
            </w:r>
          </w:p>
        </w:tc>
        <w:tc>
          <w:tcPr>
            <w:tcW w:w="1736" w:type="dxa"/>
            <w:noWrap/>
            <w:vAlign w:val="bottom"/>
          </w:tcPr>
          <w:p w14:paraId="50259A81" w14:textId="738B174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-0,81%</w:t>
            </w:r>
          </w:p>
        </w:tc>
        <w:tc>
          <w:tcPr>
            <w:tcW w:w="1737" w:type="dxa"/>
            <w:noWrap/>
            <w:vAlign w:val="bottom"/>
          </w:tcPr>
          <w:p w14:paraId="4DA51F21" w14:textId="3A08765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0FD70C9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256E80" w14:textId="71B03A4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B0CEADB" w14:textId="10B86D6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11,12%</w:t>
            </w:r>
          </w:p>
        </w:tc>
        <w:tc>
          <w:tcPr>
            <w:tcW w:w="1737" w:type="dxa"/>
            <w:noWrap/>
            <w:vAlign w:val="bottom"/>
          </w:tcPr>
          <w:p w14:paraId="399AC2E7" w14:textId="0E4966C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1736" w:type="dxa"/>
            <w:noWrap/>
            <w:vAlign w:val="bottom"/>
          </w:tcPr>
          <w:p w14:paraId="0133EEC4" w14:textId="30F8A4C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-0,63%</w:t>
            </w:r>
          </w:p>
        </w:tc>
        <w:tc>
          <w:tcPr>
            <w:tcW w:w="1737" w:type="dxa"/>
            <w:noWrap/>
            <w:vAlign w:val="bottom"/>
          </w:tcPr>
          <w:p w14:paraId="405B7652" w14:textId="4DD640E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04BD944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80A07BE" w14:textId="2F83E8B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43D7E189" w14:textId="7284247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10,74%</w:t>
            </w:r>
          </w:p>
        </w:tc>
        <w:tc>
          <w:tcPr>
            <w:tcW w:w="1737" w:type="dxa"/>
            <w:noWrap/>
            <w:vAlign w:val="bottom"/>
          </w:tcPr>
          <w:p w14:paraId="4BF4129F" w14:textId="52782E4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7,36%</w:t>
            </w:r>
          </w:p>
        </w:tc>
        <w:tc>
          <w:tcPr>
            <w:tcW w:w="1736" w:type="dxa"/>
            <w:noWrap/>
            <w:vAlign w:val="bottom"/>
          </w:tcPr>
          <w:p w14:paraId="6D7B2D09" w14:textId="6794C24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3,38%</w:t>
            </w:r>
          </w:p>
        </w:tc>
        <w:tc>
          <w:tcPr>
            <w:tcW w:w="1737" w:type="dxa"/>
            <w:noWrap/>
            <w:vAlign w:val="bottom"/>
          </w:tcPr>
          <w:p w14:paraId="297B92DB" w14:textId="50EEA94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4D332B24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EE54E3" w14:textId="6EE140E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0D3B744A" w14:textId="52834FD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7,85%</w:t>
            </w:r>
          </w:p>
        </w:tc>
        <w:tc>
          <w:tcPr>
            <w:tcW w:w="1737" w:type="dxa"/>
            <w:noWrap/>
            <w:vAlign w:val="bottom"/>
          </w:tcPr>
          <w:p w14:paraId="3CE8FD0C" w14:textId="129A728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9,21%</w:t>
            </w:r>
          </w:p>
        </w:tc>
        <w:tc>
          <w:tcPr>
            <w:tcW w:w="1736" w:type="dxa"/>
            <w:noWrap/>
            <w:vAlign w:val="bottom"/>
          </w:tcPr>
          <w:p w14:paraId="514077BF" w14:textId="4A2857D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-1,36%</w:t>
            </w:r>
          </w:p>
        </w:tc>
        <w:tc>
          <w:tcPr>
            <w:tcW w:w="1737" w:type="dxa"/>
            <w:noWrap/>
            <w:vAlign w:val="bottom"/>
          </w:tcPr>
          <w:p w14:paraId="313EB1AE" w14:textId="08BED92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2C9DE4C8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0AD021" w14:textId="1C9D854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1CDF69D7" w14:textId="620F0C5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5,53%</w:t>
            </w:r>
          </w:p>
        </w:tc>
        <w:tc>
          <w:tcPr>
            <w:tcW w:w="1737" w:type="dxa"/>
            <w:noWrap/>
            <w:vAlign w:val="bottom"/>
          </w:tcPr>
          <w:p w14:paraId="41EC2D81" w14:textId="765A83F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6,57%</w:t>
            </w:r>
          </w:p>
        </w:tc>
        <w:tc>
          <w:tcPr>
            <w:tcW w:w="1736" w:type="dxa"/>
            <w:noWrap/>
            <w:vAlign w:val="bottom"/>
          </w:tcPr>
          <w:p w14:paraId="1C9A83E2" w14:textId="098539F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-1,05%</w:t>
            </w:r>
          </w:p>
        </w:tc>
        <w:tc>
          <w:tcPr>
            <w:tcW w:w="1737" w:type="dxa"/>
            <w:noWrap/>
            <w:vAlign w:val="bottom"/>
          </w:tcPr>
          <w:p w14:paraId="6EC23CA8" w14:textId="570DFBE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7D98BAD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5E87ED" w14:textId="4E8646E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5915C94" w14:textId="1059FDC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1737" w:type="dxa"/>
            <w:noWrap/>
            <w:vAlign w:val="bottom"/>
          </w:tcPr>
          <w:p w14:paraId="34994633" w14:textId="6769A58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6,18%</w:t>
            </w:r>
          </w:p>
        </w:tc>
        <w:tc>
          <w:tcPr>
            <w:tcW w:w="1736" w:type="dxa"/>
            <w:noWrap/>
            <w:vAlign w:val="bottom"/>
          </w:tcPr>
          <w:p w14:paraId="7726E159" w14:textId="5B008EB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-1,42%</w:t>
            </w:r>
          </w:p>
        </w:tc>
        <w:tc>
          <w:tcPr>
            <w:tcW w:w="1737" w:type="dxa"/>
            <w:noWrap/>
            <w:vAlign w:val="bottom"/>
          </w:tcPr>
          <w:p w14:paraId="29A016D5" w14:textId="3F6F54A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4EA1362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441B7F" w14:textId="2D0E51A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3ADFD83D" w14:textId="195FFB4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2,79%</w:t>
            </w:r>
          </w:p>
        </w:tc>
        <w:tc>
          <w:tcPr>
            <w:tcW w:w="1737" w:type="dxa"/>
            <w:noWrap/>
            <w:vAlign w:val="bottom"/>
          </w:tcPr>
          <w:p w14:paraId="387774BA" w14:textId="123739F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3,62%</w:t>
            </w:r>
          </w:p>
        </w:tc>
        <w:tc>
          <w:tcPr>
            <w:tcW w:w="1736" w:type="dxa"/>
            <w:noWrap/>
            <w:vAlign w:val="bottom"/>
          </w:tcPr>
          <w:p w14:paraId="59C5D1DE" w14:textId="6BB89A6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-0,82%</w:t>
            </w:r>
          </w:p>
        </w:tc>
        <w:tc>
          <w:tcPr>
            <w:tcW w:w="1737" w:type="dxa"/>
            <w:noWrap/>
            <w:vAlign w:val="bottom"/>
          </w:tcPr>
          <w:p w14:paraId="15112ABC" w14:textId="2407D55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5EEA5E98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A7576D" w14:textId="5B90D49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3D1C198" w14:textId="5E39224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2,39%</w:t>
            </w:r>
          </w:p>
        </w:tc>
        <w:tc>
          <w:tcPr>
            <w:tcW w:w="1737" w:type="dxa"/>
            <w:noWrap/>
            <w:vAlign w:val="bottom"/>
          </w:tcPr>
          <w:p w14:paraId="60FCCB9E" w14:textId="50E44A0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2,83%</w:t>
            </w:r>
          </w:p>
        </w:tc>
        <w:tc>
          <w:tcPr>
            <w:tcW w:w="1736" w:type="dxa"/>
            <w:noWrap/>
            <w:vAlign w:val="bottom"/>
          </w:tcPr>
          <w:p w14:paraId="5D1C5FB6" w14:textId="60F867F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-0,43%</w:t>
            </w:r>
          </w:p>
        </w:tc>
        <w:tc>
          <w:tcPr>
            <w:tcW w:w="1737" w:type="dxa"/>
            <w:noWrap/>
            <w:vAlign w:val="bottom"/>
          </w:tcPr>
          <w:p w14:paraId="2490B7DD" w14:textId="34B8AFB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5E396FD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3BC7BB" w14:textId="2C39E28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706A3AF4" w14:textId="43B4808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1,72%</w:t>
            </w:r>
          </w:p>
        </w:tc>
        <w:tc>
          <w:tcPr>
            <w:tcW w:w="1737" w:type="dxa"/>
            <w:noWrap/>
            <w:vAlign w:val="bottom"/>
          </w:tcPr>
          <w:p w14:paraId="3664A3AB" w14:textId="7EB498C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2,21%</w:t>
            </w:r>
          </w:p>
        </w:tc>
        <w:tc>
          <w:tcPr>
            <w:tcW w:w="1736" w:type="dxa"/>
            <w:noWrap/>
            <w:vAlign w:val="bottom"/>
          </w:tcPr>
          <w:p w14:paraId="4DE7A8DE" w14:textId="7157132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-0,49%</w:t>
            </w:r>
          </w:p>
        </w:tc>
        <w:tc>
          <w:tcPr>
            <w:tcW w:w="1737" w:type="dxa"/>
            <w:noWrap/>
            <w:vAlign w:val="bottom"/>
          </w:tcPr>
          <w:p w14:paraId="4B462D01" w14:textId="3486331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7265ACF8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840A81" w14:textId="1B63635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5093E5AE" w14:textId="4EE77E0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1,25%</w:t>
            </w:r>
          </w:p>
        </w:tc>
        <w:tc>
          <w:tcPr>
            <w:tcW w:w="1737" w:type="dxa"/>
            <w:noWrap/>
            <w:vAlign w:val="bottom"/>
          </w:tcPr>
          <w:p w14:paraId="54DF36DA" w14:textId="21DA1EC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6" w:type="dxa"/>
            <w:noWrap/>
            <w:vAlign w:val="bottom"/>
          </w:tcPr>
          <w:p w14:paraId="12481F97" w14:textId="47DB31B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0,58%</w:t>
            </w:r>
          </w:p>
        </w:tc>
        <w:tc>
          <w:tcPr>
            <w:tcW w:w="1737" w:type="dxa"/>
            <w:noWrap/>
            <w:vAlign w:val="bottom"/>
          </w:tcPr>
          <w:p w14:paraId="73F0A7E3" w14:textId="3F0E7A7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7E6F34A8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A98986" w14:textId="297D0A4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200DB505" w14:textId="3D00714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7" w:type="dxa"/>
            <w:noWrap/>
            <w:vAlign w:val="bottom"/>
          </w:tcPr>
          <w:p w14:paraId="48E64467" w14:textId="55078E8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1,37%</w:t>
            </w:r>
          </w:p>
        </w:tc>
        <w:tc>
          <w:tcPr>
            <w:tcW w:w="1736" w:type="dxa"/>
            <w:noWrap/>
            <w:vAlign w:val="bottom"/>
          </w:tcPr>
          <w:p w14:paraId="44DAF71D" w14:textId="1DF4D9E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-0,88%</w:t>
            </w:r>
          </w:p>
        </w:tc>
        <w:tc>
          <w:tcPr>
            <w:tcW w:w="1737" w:type="dxa"/>
            <w:noWrap/>
            <w:vAlign w:val="bottom"/>
          </w:tcPr>
          <w:p w14:paraId="1F46E941" w14:textId="5557E6C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4AE5CE3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440D44" w14:textId="283D502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4CBDA379" w14:textId="5339160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22353486" w14:textId="500DE76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6" w:type="dxa"/>
            <w:noWrap/>
            <w:vAlign w:val="bottom"/>
          </w:tcPr>
          <w:p w14:paraId="6E2CAACE" w14:textId="407409E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42A18E88" w14:textId="3EABC8F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56575B5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2634BB" w14:textId="5F4894F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DC1CEB6" w14:textId="7E8802F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3F2401CC" w14:textId="42E7079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6" w:type="dxa"/>
            <w:noWrap/>
            <w:vAlign w:val="bottom"/>
          </w:tcPr>
          <w:p w14:paraId="6365B551" w14:textId="341AEC8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-0,25%</w:t>
            </w:r>
          </w:p>
        </w:tc>
        <w:tc>
          <w:tcPr>
            <w:tcW w:w="1737" w:type="dxa"/>
            <w:noWrap/>
            <w:vAlign w:val="bottom"/>
          </w:tcPr>
          <w:p w14:paraId="4FE9C5D5" w14:textId="07F07AC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304F4E6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056EB38" w14:textId="2FA3745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518AB768" w14:textId="2CB423F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51AAF88E" w14:textId="15D3E70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6" w:type="dxa"/>
            <w:noWrap/>
            <w:vAlign w:val="bottom"/>
          </w:tcPr>
          <w:p w14:paraId="270E4F61" w14:textId="7D53223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6B081660" w14:textId="795502B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10546CD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D804E49" w14:textId="4D569CE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6E484A8A" w14:textId="0ECECD4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6660926E" w14:textId="2EA4B69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6" w:type="dxa"/>
            <w:noWrap/>
            <w:vAlign w:val="bottom"/>
          </w:tcPr>
          <w:p w14:paraId="21DE815F" w14:textId="7FFE7ED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7015D334" w14:textId="6156290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563DCE9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1E09D85" w14:textId="41718AE6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7107C53D" w14:textId="3BEA75B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5226B1C4" w14:textId="2CB2D75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0,17%</w:t>
            </w:r>
          </w:p>
        </w:tc>
        <w:tc>
          <w:tcPr>
            <w:tcW w:w="1736" w:type="dxa"/>
            <w:noWrap/>
            <w:vAlign w:val="bottom"/>
          </w:tcPr>
          <w:p w14:paraId="317E88BE" w14:textId="63FC8AC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E50A103" w14:textId="6A651AD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2B99AA11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C2AB91E" w14:textId="43C43B98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E0C73F7" w14:textId="5A2F0F9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2EC989D2" w14:textId="5A76A1E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04B914E2" w14:textId="142DC04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4B62E28A" w14:textId="3A3762A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408C3A3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1E1129" w14:textId="79D167BA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39853A92" w14:textId="7185457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4724C35D" w14:textId="20C648C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686795D5" w14:textId="71E3122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68EBFE6B" w14:textId="2F3D02F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26347" w:rsidRPr="00AF18EC" w14:paraId="0A1C862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A34186" w14:textId="52A6B33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3815AC30" w14:textId="603517E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327B869A" w14:textId="6FE295C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0,55%</w:t>
            </w:r>
          </w:p>
        </w:tc>
        <w:tc>
          <w:tcPr>
            <w:tcW w:w="1736" w:type="dxa"/>
            <w:noWrap/>
            <w:vAlign w:val="bottom"/>
          </w:tcPr>
          <w:p w14:paraId="47E7A1A1" w14:textId="6298576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-0,54%</w:t>
            </w:r>
          </w:p>
        </w:tc>
        <w:tc>
          <w:tcPr>
            <w:tcW w:w="1737" w:type="dxa"/>
            <w:noWrap/>
            <w:vAlign w:val="bottom"/>
          </w:tcPr>
          <w:p w14:paraId="1C30759B" w14:textId="095E8E3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3CCB165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53BE59" w14:textId="0B81E45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3EB9FB94" w14:textId="11219EB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FF52CCA" w14:textId="51D2CCC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7BC431EC" w14:textId="1F063F7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0BC2458" w14:textId="4DBD7DE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26347" w:rsidRPr="00AF18EC" w14:paraId="0051122B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23ECCD" w14:textId="799450F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3B406A56" w14:textId="49F4426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13C345E" w14:textId="3AA4DF6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6DB1CCCB" w14:textId="621B7F2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590A6EFF" w14:textId="53E919D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26347" w:rsidRPr="00AF18EC" w14:paraId="1843093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32B3D1" w14:textId="30910275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51293B9B" w14:textId="4618029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E09A00" w14:textId="22275A2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0480D309" w14:textId="5AB97B9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5D2CBC5C" w14:textId="18C6C39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26347" w:rsidRPr="00AF18EC" w14:paraId="789D8B3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C44243" w14:textId="77777777" w:rsidR="00D26347" w:rsidRPr="00AF18EC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A2EFDA7" w14:textId="44AC3F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7C5A610" w14:textId="546F1602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480AF12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7C917A8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3573690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EF3325F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2E03B8E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F5996A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F50C89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5EEC061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64FBD3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3D4E651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9946726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D45FFB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16FB9F8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63E124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8A4EA3F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C1B4F69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EC233D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4C21AF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2B54191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EA12F6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6C869546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9BB4CBA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17B4D3F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24F1CE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0150B3B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25CC88C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753EF2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219865C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442880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D28F5E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D2E3F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E8033E7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3F548EF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A0B450D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D64C3F1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BD9B36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DF85C5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BFAEA24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3489FB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3FBDB35" w14:textId="77777777" w:rsidR="00654DC4" w:rsidRPr="00AF18EC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01546AF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B459DE3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8C6E00A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08D998D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7BBB287C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4244C75" w14:textId="77777777" w:rsidR="00D26347" w:rsidRPr="00AF18EC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4F95EC96" w14:textId="0E8A1EA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80,26%</w:t>
            </w:r>
          </w:p>
        </w:tc>
        <w:tc>
          <w:tcPr>
            <w:tcW w:w="1737" w:type="dxa"/>
            <w:noWrap/>
            <w:vAlign w:val="bottom"/>
          </w:tcPr>
          <w:p w14:paraId="45A21D4B" w14:textId="63C6E1D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79,44%</w:t>
            </w:r>
          </w:p>
        </w:tc>
        <w:tc>
          <w:tcPr>
            <w:tcW w:w="1736" w:type="dxa"/>
            <w:noWrap/>
            <w:vAlign w:val="center"/>
          </w:tcPr>
          <w:p w14:paraId="774AA82D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622AFB3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60D21AB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0D18A71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1B8EB6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E2C1D9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D78331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74E237A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BB3B27F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7D38E4D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A06E37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551D8C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FF5FDC6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ETFPLUS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6B15403C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62C0D84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94E3D8D" w14:textId="77777777" w:rsidR="00A635A4" w:rsidRPr="00A47480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47480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99C1886" w14:textId="22B5315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34659F67" w14:textId="7B60F7C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39A0FA46" w14:textId="11FB429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30292254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88EA0F0" w14:textId="3516C13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38638EF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B36D5E5" w14:textId="31AEEA0B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21B87674" w14:textId="1E55649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8,03%</w:t>
            </w:r>
          </w:p>
        </w:tc>
        <w:tc>
          <w:tcPr>
            <w:tcW w:w="1737" w:type="dxa"/>
            <w:noWrap/>
            <w:vAlign w:val="bottom"/>
          </w:tcPr>
          <w:p w14:paraId="3CA505D3" w14:textId="4D01B2D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8,22%</w:t>
            </w:r>
          </w:p>
        </w:tc>
        <w:tc>
          <w:tcPr>
            <w:tcW w:w="1736" w:type="dxa"/>
            <w:noWrap/>
            <w:vAlign w:val="bottom"/>
          </w:tcPr>
          <w:p w14:paraId="21DD46A5" w14:textId="55372A8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40EBFD5C" w14:textId="4067C5B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213F103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70335B" w14:textId="68184E80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16F088C" w14:textId="0788629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7,77%</w:t>
            </w:r>
          </w:p>
        </w:tc>
        <w:tc>
          <w:tcPr>
            <w:tcW w:w="1737" w:type="dxa"/>
            <w:noWrap/>
            <w:vAlign w:val="bottom"/>
          </w:tcPr>
          <w:p w14:paraId="6BA79835" w14:textId="163BD9E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7,78%</w:t>
            </w:r>
          </w:p>
        </w:tc>
        <w:tc>
          <w:tcPr>
            <w:tcW w:w="1736" w:type="dxa"/>
            <w:noWrap/>
            <w:vAlign w:val="bottom"/>
          </w:tcPr>
          <w:p w14:paraId="17870FAF" w14:textId="11236DF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3716BBD" w14:textId="173DE6D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67EE718D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5E1707" w14:textId="3CCE48C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3A6237D" w14:textId="50CA153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4,38%</w:t>
            </w:r>
          </w:p>
        </w:tc>
        <w:tc>
          <w:tcPr>
            <w:tcW w:w="1737" w:type="dxa"/>
            <w:noWrap/>
            <w:vAlign w:val="bottom"/>
          </w:tcPr>
          <w:p w14:paraId="07AC31E1" w14:textId="739CB78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5,00%</w:t>
            </w:r>
          </w:p>
        </w:tc>
        <w:tc>
          <w:tcPr>
            <w:tcW w:w="1736" w:type="dxa"/>
            <w:noWrap/>
            <w:vAlign w:val="bottom"/>
          </w:tcPr>
          <w:p w14:paraId="74023271" w14:textId="5E3A442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-0,61%</w:t>
            </w:r>
          </w:p>
        </w:tc>
        <w:tc>
          <w:tcPr>
            <w:tcW w:w="1737" w:type="dxa"/>
            <w:noWrap/>
            <w:vAlign w:val="bottom"/>
          </w:tcPr>
          <w:p w14:paraId="1356119D" w14:textId="7C55ABB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7AADFC84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870CEF" w14:textId="7DA8741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7507F713" w14:textId="427BCCC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4,03%</w:t>
            </w:r>
          </w:p>
        </w:tc>
        <w:tc>
          <w:tcPr>
            <w:tcW w:w="1737" w:type="dxa"/>
            <w:noWrap/>
            <w:vAlign w:val="bottom"/>
          </w:tcPr>
          <w:p w14:paraId="4D9E9454" w14:textId="226B264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3,70%</w:t>
            </w:r>
          </w:p>
        </w:tc>
        <w:tc>
          <w:tcPr>
            <w:tcW w:w="1736" w:type="dxa"/>
            <w:noWrap/>
            <w:vAlign w:val="bottom"/>
          </w:tcPr>
          <w:p w14:paraId="57AD413E" w14:textId="03A8A95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2CACC27D" w14:textId="787655B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507F2F1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BD3C40" w14:textId="6EC3FE4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19BD5D76" w14:textId="6FFF336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2,46%</w:t>
            </w:r>
          </w:p>
        </w:tc>
        <w:tc>
          <w:tcPr>
            <w:tcW w:w="1737" w:type="dxa"/>
            <w:noWrap/>
            <w:vAlign w:val="bottom"/>
          </w:tcPr>
          <w:p w14:paraId="10B7353D" w14:textId="2C64AEA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2,85%</w:t>
            </w:r>
          </w:p>
        </w:tc>
        <w:tc>
          <w:tcPr>
            <w:tcW w:w="1736" w:type="dxa"/>
            <w:noWrap/>
            <w:vAlign w:val="bottom"/>
          </w:tcPr>
          <w:p w14:paraId="5F820F91" w14:textId="2D8CC5E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1B9C268A" w14:textId="0C90560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7BAE974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A3E2640" w14:textId="18422098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7D4E351F" w14:textId="3BE921F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2,03%</w:t>
            </w:r>
          </w:p>
        </w:tc>
        <w:tc>
          <w:tcPr>
            <w:tcW w:w="1737" w:type="dxa"/>
            <w:noWrap/>
            <w:vAlign w:val="bottom"/>
          </w:tcPr>
          <w:p w14:paraId="3C58D83A" w14:textId="79C8C3C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2,53%</w:t>
            </w:r>
          </w:p>
        </w:tc>
        <w:tc>
          <w:tcPr>
            <w:tcW w:w="1736" w:type="dxa"/>
            <w:noWrap/>
            <w:vAlign w:val="bottom"/>
          </w:tcPr>
          <w:p w14:paraId="376C0D8D" w14:textId="260C0C0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-0,50%</w:t>
            </w:r>
          </w:p>
        </w:tc>
        <w:tc>
          <w:tcPr>
            <w:tcW w:w="1737" w:type="dxa"/>
            <w:noWrap/>
            <w:vAlign w:val="bottom"/>
          </w:tcPr>
          <w:p w14:paraId="4750A3F4" w14:textId="373634E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3983A73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EECEF1" w14:textId="3598128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B85E478" w14:textId="260C918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1,99%</w:t>
            </w:r>
          </w:p>
        </w:tc>
        <w:tc>
          <w:tcPr>
            <w:tcW w:w="1737" w:type="dxa"/>
            <w:noWrap/>
            <w:vAlign w:val="bottom"/>
          </w:tcPr>
          <w:p w14:paraId="4A9A9F3E" w14:textId="4B36B30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2,25%</w:t>
            </w:r>
          </w:p>
        </w:tc>
        <w:tc>
          <w:tcPr>
            <w:tcW w:w="1736" w:type="dxa"/>
            <w:noWrap/>
            <w:vAlign w:val="bottom"/>
          </w:tcPr>
          <w:p w14:paraId="28DBEA96" w14:textId="0C7E804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-0,25%</w:t>
            </w:r>
          </w:p>
        </w:tc>
        <w:tc>
          <w:tcPr>
            <w:tcW w:w="1737" w:type="dxa"/>
            <w:noWrap/>
            <w:vAlign w:val="bottom"/>
          </w:tcPr>
          <w:p w14:paraId="17C346E6" w14:textId="6C0C569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757D573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AB1E124" w14:textId="3062080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6516C97D" w14:textId="3BDA475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1,63%</w:t>
            </w:r>
          </w:p>
        </w:tc>
        <w:tc>
          <w:tcPr>
            <w:tcW w:w="1737" w:type="dxa"/>
            <w:noWrap/>
            <w:vAlign w:val="bottom"/>
          </w:tcPr>
          <w:p w14:paraId="363CAF15" w14:textId="3FF0805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1,73%</w:t>
            </w:r>
          </w:p>
        </w:tc>
        <w:tc>
          <w:tcPr>
            <w:tcW w:w="1736" w:type="dxa"/>
            <w:noWrap/>
            <w:vAlign w:val="bottom"/>
          </w:tcPr>
          <w:p w14:paraId="511576F8" w14:textId="087792D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3F81E6BB" w14:textId="6E49462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2D5C94ED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87DD87" w14:textId="0C143BC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4B4A6A52" w14:textId="7F46086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1,63%</w:t>
            </w:r>
          </w:p>
        </w:tc>
        <w:tc>
          <w:tcPr>
            <w:tcW w:w="1737" w:type="dxa"/>
            <w:noWrap/>
            <w:vAlign w:val="bottom"/>
          </w:tcPr>
          <w:p w14:paraId="00DDA34F" w14:textId="3CBD195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1,51%</w:t>
            </w:r>
          </w:p>
        </w:tc>
        <w:tc>
          <w:tcPr>
            <w:tcW w:w="1736" w:type="dxa"/>
            <w:noWrap/>
            <w:vAlign w:val="bottom"/>
          </w:tcPr>
          <w:p w14:paraId="51CEC72B" w14:textId="3D828BE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04BBA2AE" w14:textId="543E009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1C23E13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CA05EA" w14:textId="69A8D13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0851B63B" w14:textId="0C6EB4E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1,55%</w:t>
            </w:r>
          </w:p>
        </w:tc>
        <w:tc>
          <w:tcPr>
            <w:tcW w:w="1737" w:type="dxa"/>
            <w:noWrap/>
            <w:vAlign w:val="bottom"/>
          </w:tcPr>
          <w:p w14:paraId="41C8AF34" w14:textId="0E1DA7F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2,18%</w:t>
            </w:r>
          </w:p>
        </w:tc>
        <w:tc>
          <w:tcPr>
            <w:tcW w:w="1736" w:type="dxa"/>
            <w:noWrap/>
            <w:vAlign w:val="bottom"/>
          </w:tcPr>
          <w:p w14:paraId="4AF63974" w14:textId="22C1066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1,55%</w:t>
            </w:r>
          </w:p>
        </w:tc>
        <w:tc>
          <w:tcPr>
            <w:tcW w:w="1737" w:type="dxa"/>
            <w:noWrap/>
            <w:vAlign w:val="bottom"/>
          </w:tcPr>
          <w:p w14:paraId="6306EFA1" w14:textId="62201B5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07453E6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7829EEB" w14:textId="04C6156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91764DA" w14:textId="3E30C63F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1,22%</w:t>
            </w:r>
          </w:p>
        </w:tc>
        <w:tc>
          <w:tcPr>
            <w:tcW w:w="1737" w:type="dxa"/>
            <w:noWrap/>
            <w:vAlign w:val="bottom"/>
          </w:tcPr>
          <w:p w14:paraId="7184E3F9" w14:textId="70323BF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6" w:type="dxa"/>
            <w:noWrap/>
            <w:vAlign w:val="bottom"/>
          </w:tcPr>
          <w:p w14:paraId="122AAD10" w14:textId="5232A3A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0A3DFDFB" w14:textId="7BBE3248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0B57438F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76F1EC" w14:textId="4A9BFFD2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C2BA6AE" w14:textId="5DB20B4E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1,01%</w:t>
            </w:r>
          </w:p>
        </w:tc>
        <w:tc>
          <w:tcPr>
            <w:tcW w:w="1737" w:type="dxa"/>
            <w:noWrap/>
            <w:vAlign w:val="bottom"/>
          </w:tcPr>
          <w:p w14:paraId="51A620AD" w14:textId="12689E62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0,68%</w:t>
            </w:r>
          </w:p>
        </w:tc>
        <w:tc>
          <w:tcPr>
            <w:tcW w:w="1736" w:type="dxa"/>
            <w:noWrap/>
            <w:vAlign w:val="bottom"/>
          </w:tcPr>
          <w:p w14:paraId="6D4060EA" w14:textId="5290D06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7" w:type="dxa"/>
            <w:noWrap/>
            <w:vAlign w:val="bottom"/>
          </w:tcPr>
          <w:p w14:paraId="59D2E991" w14:textId="1898894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24837AD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C77D4C" w14:textId="2ED6BAD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91E96DD" w14:textId="7ECB7CD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0,89%</w:t>
            </w:r>
          </w:p>
        </w:tc>
        <w:tc>
          <w:tcPr>
            <w:tcW w:w="1737" w:type="dxa"/>
            <w:noWrap/>
            <w:vAlign w:val="bottom"/>
          </w:tcPr>
          <w:p w14:paraId="058E765A" w14:textId="5F81F63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6" w:type="dxa"/>
            <w:noWrap/>
            <w:vAlign w:val="bottom"/>
          </w:tcPr>
          <w:p w14:paraId="455F1AE9" w14:textId="17CE696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6C9829AB" w14:textId="64AF5A34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7A2AAAA1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0C2501" w14:textId="36247467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63F47938" w14:textId="2F92626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0,70%</w:t>
            </w:r>
          </w:p>
        </w:tc>
        <w:tc>
          <w:tcPr>
            <w:tcW w:w="1737" w:type="dxa"/>
            <w:noWrap/>
            <w:vAlign w:val="bottom"/>
          </w:tcPr>
          <w:p w14:paraId="34DB3BBA" w14:textId="1DD5816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1,22%</w:t>
            </w:r>
          </w:p>
        </w:tc>
        <w:tc>
          <w:tcPr>
            <w:tcW w:w="1736" w:type="dxa"/>
            <w:noWrap/>
            <w:vAlign w:val="bottom"/>
          </w:tcPr>
          <w:p w14:paraId="598F1500" w14:textId="22D2158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-0,52%</w:t>
            </w:r>
          </w:p>
        </w:tc>
        <w:tc>
          <w:tcPr>
            <w:tcW w:w="1737" w:type="dxa"/>
            <w:noWrap/>
            <w:vAlign w:val="bottom"/>
          </w:tcPr>
          <w:p w14:paraId="6125974F" w14:textId="7091807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2F51203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1E0E922" w14:textId="18FB1314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3C5CA6ED" w14:textId="7317ADD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0,59%</w:t>
            </w:r>
          </w:p>
        </w:tc>
        <w:tc>
          <w:tcPr>
            <w:tcW w:w="1737" w:type="dxa"/>
            <w:noWrap/>
            <w:vAlign w:val="bottom"/>
          </w:tcPr>
          <w:p w14:paraId="497CA950" w14:textId="6E743D0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6" w:type="dxa"/>
            <w:noWrap/>
            <w:vAlign w:val="bottom"/>
          </w:tcPr>
          <w:p w14:paraId="4E784C63" w14:textId="7C5663E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-0,37%</w:t>
            </w:r>
          </w:p>
        </w:tc>
        <w:tc>
          <w:tcPr>
            <w:tcW w:w="1737" w:type="dxa"/>
            <w:noWrap/>
            <w:vAlign w:val="bottom"/>
          </w:tcPr>
          <w:p w14:paraId="78174223" w14:textId="1943627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3EBE1722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4CCBCB" w14:textId="49256F6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5B331C56" w14:textId="3C30C6FF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0,57%</w:t>
            </w:r>
          </w:p>
        </w:tc>
        <w:tc>
          <w:tcPr>
            <w:tcW w:w="1737" w:type="dxa"/>
            <w:noWrap/>
            <w:vAlign w:val="bottom"/>
          </w:tcPr>
          <w:p w14:paraId="52D2F72B" w14:textId="364EFE0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6" w:type="dxa"/>
            <w:noWrap/>
            <w:vAlign w:val="bottom"/>
          </w:tcPr>
          <w:p w14:paraId="026103FE" w14:textId="0F7420C5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5EE2D2CE" w14:textId="7519F15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02320197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8A4C38" w14:textId="7F4BA2C3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5D9AC427" w14:textId="13B01A3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7" w:type="dxa"/>
            <w:noWrap/>
            <w:vAlign w:val="bottom"/>
          </w:tcPr>
          <w:p w14:paraId="1563F4C5" w14:textId="65EB525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1,13%</w:t>
            </w:r>
          </w:p>
        </w:tc>
        <w:tc>
          <w:tcPr>
            <w:tcW w:w="1736" w:type="dxa"/>
            <w:noWrap/>
            <w:vAlign w:val="bottom"/>
          </w:tcPr>
          <w:p w14:paraId="36B1F2EC" w14:textId="0FC234E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-0,57%</w:t>
            </w:r>
          </w:p>
        </w:tc>
        <w:tc>
          <w:tcPr>
            <w:tcW w:w="1737" w:type="dxa"/>
            <w:noWrap/>
            <w:vAlign w:val="bottom"/>
          </w:tcPr>
          <w:p w14:paraId="63C11AE7" w14:textId="2873B02C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52B55B8F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73A006" w14:textId="793A5B4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15CED96E" w14:textId="4ECD989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0,52%</w:t>
            </w:r>
          </w:p>
        </w:tc>
        <w:tc>
          <w:tcPr>
            <w:tcW w:w="1737" w:type="dxa"/>
            <w:noWrap/>
            <w:vAlign w:val="bottom"/>
          </w:tcPr>
          <w:p w14:paraId="3B7813DF" w14:textId="40632621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0,91%</w:t>
            </w:r>
          </w:p>
        </w:tc>
        <w:tc>
          <w:tcPr>
            <w:tcW w:w="1736" w:type="dxa"/>
            <w:noWrap/>
            <w:vAlign w:val="bottom"/>
          </w:tcPr>
          <w:p w14:paraId="089F33B9" w14:textId="36BA9AF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-0,38%</w:t>
            </w:r>
          </w:p>
        </w:tc>
        <w:tc>
          <w:tcPr>
            <w:tcW w:w="1737" w:type="dxa"/>
            <w:noWrap/>
            <w:vAlign w:val="bottom"/>
          </w:tcPr>
          <w:p w14:paraId="5E8FEE49" w14:textId="2FD749C0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4A09894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2864C27" w14:textId="71350CAF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4524276B" w14:textId="1B348FC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7" w:type="dxa"/>
            <w:noWrap/>
            <w:vAlign w:val="bottom"/>
          </w:tcPr>
          <w:p w14:paraId="17091701" w14:textId="4A7CCF63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0,51%</w:t>
            </w:r>
          </w:p>
        </w:tc>
        <w:tc>
          <w:tcPr>
            <w:tcW w:w="1736" w:type="dxa"/>
            <w:noWrap/>
            <w:vAlign w:val="bottom"/>
          </w:tcPr>
          <w:p w14:paraId="52C440C0" w14:textId="312CD9B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4DF4F937" w14:textId="20A9FA2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06562BCB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AE50C09" w14:textId="33EEA9D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700BB6E5" w14:textId="65F6B11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0,38%</w:t>
            </w:r>
          </w:p>
        </w:tc>
        <w:tc>
          <w:tcPr>
            <w:tcW w:w="1737" w:type="dxa"/>
            <w:noWrap/>
            <w:vAlign w:val="bottom"/>
          </w:tcPr>
          <w:p w14:paraId="0C745253" w14:textId="43F48F3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0,29%</w:t>
            </w:r>
          </w:p>
        </w:tc>
        <w:tc>
          <w:tcPr>
            <w:tcW w:w="1736" w:type="dxa"/>
            <w:noWrap/>
            <w:vAlign w:val="bottom"/>
          </w:tcPr>
          <w:p w14:paraId="6586F99D" w14:textId="1827960A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0622F679" w14:textId="41B3BBAC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26347" w:rsidRPr="00AF18EC" w14:paraId="766EAE54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DAC830" w14:textId="27339E9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0E3EB12F" w14:textId="02589A72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16200017" w14:textId="1C29BDBD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0,36%</w:t>
            </w:r>
          </w:p>
        </w:tc>
        <w:tc>
          <w:tcPr>
            <w:tcW w:w="1736" w:type="dxa"/>
            <w:noWrap/>
            <w:vAlign w:val="bottom"/>
          </w:tcPr>
          <w:p w14:paraId="64B025AE" w14:textId="0860C99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-0,15%</w:t>
            </w:r>
          </w:p>
        </w:tc>
        <w:tc>
          <w:tcPr>
            <w:tcW w:w="1737" w:type="dxa"/>
            <w:noWrap/>
            <w:vAlign w:val="bottom"/>
          </w:tcPr>
          <w:p w14:paraId="54A26E4F" w14:textId="04226CB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26347" w:rsidRPr="00AF18EC" w14:paraId="2F532A8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22C05C" w14:textId="37B2620E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433A3601" w14:textId="5168934B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2B36A120" w14:textId="33E786C7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6" w:type="dxa"/>
            <w:noWrap/>
            <w:vAlign w:val="bottom"/>
          </w:tcPr>
          <w:p w14:paraId="69D01D84" w14:textId="542A54A9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7009496F" w14:textId="76FEC57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26347" w:rsidRPr="00AF18EC" w14:paraId="7BD6DD8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493329E" w14:textId="26EA398D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3E09AC5E" w14:textId="02AEAF77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14266B3E" w14:textId="028E288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736" w:type="dxa"/>
            <w:noWrap/>
            <w:vAlign w:val="bottom"/>
          </w:tcPr>
          <w:p w14:paraId="20ECDBE1" w14:textId="22B54A51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-0,07%</w:t>
            </w:r>
          </w:p>
        </w:tc>
        <w:tc>
          <w:tcPr>
            <w:tcW w:w="1737" w:type="dxa"/>
            <w:noWrap/>
            <w:vAlign w:val="bottom"/>
          </w:tcPr>
          <w:p w14:paraId="39BBFC9D" w14:textId="1FF0C14B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D26347" w:rsidRPr="00AF18EC" w14:paraId="6EF57207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FCD98E" w14:textId="72340B19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0B331D3E" w14:textId="519AA86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0,16%</w:t>
            </w:r>
          </w:p>
        </w:tc>
        <w:tc>
          <w:tcPr>
            <w:tcW w:w="1737" w:type="dxa"/>
            <w:noWrap/>
            <w:vAlign w:val="bottom"/>
          </w:tcPr>
          <w:p w14:paraId="42F5825B" w14:textId="353B6E0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6" w:type="dxa"/>
            <w:noWrap/>
            <w:vAlign w:val="bottom"/>
          </w:tcPr>
          <w:p w14:paraId="5F96A4B0" w14:textId="43F8F0FD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3138E6A7" w14:textId="4041E9B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26347" w:rsidRPr="00AF18EC" w14:paraId="0C8E919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245CD2" w14:textId="3BAFAFC1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Finsud SIM</w:t>
            </w:r>
          </w:p>
        </w:tc>
        <w:tc>
          <w:tcPr>
            <w:tcW w:w="1736" w:type="dxa"/>
            <w:noWrap/>
            <w:vAlign w:val="bottom"/>
          </w:tcPr>
          <w:p w14:paraId="6309BBE1" w14:textId="5DF64146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07798D8B" w14:textId="4B33032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5D37C910" w14:textId="7F0DD300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40295429" w14:textId="5064984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D26347" w:rsidRPr="00AF18EC" w14:paraId="1DAF2B31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735E5C" w14:textId="3E33414C" w:rsidR="00D26347" w:rsidRPr="003E6111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8F7E4D5" w14:textId="4F5CE876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0912B16C" w14:textId="3A4EC74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2D2D413F" w14:textId="7B3F51B8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3C2CCC87" w14:textId="472EEDC3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D26347" w:rsidRPr="00AF18EC" w14:paraId="5CE7629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18A99A" w14:textId="01E7A624" w:rsidR="00D26347" w:rsidRPr="003E6111" w:rsidRDefault="00D26347" w:rsidP="00D2634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12F58A2" w14:textId="55FDF935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067F09B" w14:textId="726CE0EE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E86352A" w14:textId="52CC1E29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DB25158" w14:textId="7C5B39FA" w:rsidR="00D26347" w:rsidRPr="003E6111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0C80" w:rsidRPr="00AF18EC" w14:paraId="2C9E28C2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3BD97CA" w14:textId="17EB2FA4" w:rsidR="00A30C80" w:rsidRPr="00A47480" w:rsidRDefault="00A30C80" w:rsidP="00A30C80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B74F9ED" w14:textId="67CF548A" w:rsidR="00A30C80" w:rsidRPr="00A47480" w:rsidRDefault="00A30C80" w:rsidP="00A30C8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1A4AEE6" w14:textId="720C957A" w:rsidR="00A30C80" w:rsidRPr="00A47480" w:rsidRDefault="00A30C80" w:rsidP="00A30C8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5D67111" w14:textId="7EB14763" w:rsidR="00A30C80" w:rsidRPr="00A47480" w:rsidRDefault="00A30C80" w:rsidP="00A30C8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EBC65E7" w14:textId="2EDD667B" w:rsidR="00A30C80" w:rsidRPr="00A47480" w:rsidRDefault="00A30C80" w:rsidP="00A30C80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663C" w:rsidRPr="00AF18EC" w14:paraId="4D2F831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8E6C26" w14:textId="77777777" w:rsidR="00A7663C" w:rsidRPr="00A47480" w:rsidRDefault="00A7663C" w:rsidP="00A7663C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4D7C731" w14:textId="563AF4E7" w:rsidR="00A7663C" w:rsidRPr="00A47480" w:rsidRDefault="00A7663C" w:rsidP="00A766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5019763" w14:textId="77496880" w:rsidR="00A7663C" w:rsidRPr="00A47480" w:rsidRDefault="00A7663C" w:rsidP="00A766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919A314" w14:textId="77777777" w:rsidR="00A7663C" w:rsidRPr="00A47480" w:rsidRDefault="00A7663C" w:rsidP="00A766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79228AE" w14:textId="77777777" w:rsidR="00A7663C" w:rsidRPr="00A47480" w:rsidRDefault="00A7663C" w:rsidP="00A7663C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58796379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2C3CD36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A466A3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0242C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C86B4F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AC9BD8B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D4AC3D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3E9FB0A" w14:textId="77777777" w:rsidR="00654DC4" w:rsidRPr="00A47480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2507F8F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53A4B04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5CCFE5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A03CD6" w14:textId="77777777" w:rsidR="00654DC4" w:rsidRPr="00A47480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6206194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8490BAB" w14:textId="77777777" w:rsidR="00D26347" w:rsidRPr="00A47480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47480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55167E0" w14:textId="0A9B560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43,27%</w:t>
            </w:r>
          </w:p>
        </w:tc>
        <w:tc>
          <w:tcPr>
            <w:tcW w:w="1737" w:type="dxa"/>
            <w:noWrap/>
            <w:vAlign w:val="bottom"/>
          </w:tcPr>
          <w:p w14:paraId="7F0AE486" w14:textId="043F8E74" w:rsidR="00D26347" w:rsidRPr="003E6111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44,53%</w:t>
            </w:r>
          </w:p>
        </w:tc>
        <w:tc>
          <w:tcPr>
            <w:tcW w:w="1736" w:type="dxa"/>
            <w:noWrap/>
            <w:vAlign w:val="center"/>
          </w:tcPr>
          <w:p w14:paraId="5FEDD4F3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20F5A40" w14:textId="77777777" w:rsidR="00D26347" w:rsidRPr="00A47480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F046BF9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7AEE542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B9DD87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1870023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31D188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E43D14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ABFAA5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5F7A66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B67CA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BD7F878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763CE1D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FUTURES SU INDICE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5AE7030E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6662367A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B6D05BA" w14:textId="77777777" w:rsidR="00A635A4" w:rsidRPr="00CE188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081A203" w14:textId="5CDA284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831273B" w14:textId="4E7A4C5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30BAC99E" w14:textId="49A04069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12B0801B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0E82F10" w14:textId="182F570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26347" w:rsidRPr="00AF18EC" w14:paraId="42FE47E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D0D2F7" w14:textId="65D1C958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63A4192" w14:textId="3C26273C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4,17%</w:t>
            </w:r>
          </w:p>
        </w:tc>
        <w:tc>
          <w:tcPr>
            <w:tcW w:w="1737" w:type="dxa"/>
            <w:noWrap/>
            <w:vAlign w:val="bottom"/>
          </w:tcPr>
          <w:p w14:paraId="43F250D6" w14:textId="1EBC02B7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3,77%</w:t>
            </w:r>
          </w:p>
        </w:tc>
        <w:tc>
          <w:tcPr>
            <w:tcW w:w="1736" w:type="dxa"/>
            <w:noWrap/>
            <w:vAlign w:val="bottom"/>
          </w:tcPr>
          <w:p w14:paraId="4213F091" w14:textId="2DC0D8C2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0,40%</w:t>
            </w:r>
          </w:p>
        </w:tc>
        <w:tc>
          <w:tcPr>
            <w:tcW w:w="1737" w:type="dxa"/>
            <w:noWrap/>
            <w:vAlign w:val="bottom"/>
          </w:tcPr>
          <w:p w14:paraId="1200C7D1" w14:textId="5A485FBE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6347" w:rsidRPr="00AF18EC" w14:paraId="5D5C809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01A7FB4" w14:textId="258DF0FD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03A1FB1B" w14:textId="5162E224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3,89%</w:t>
            </w:r>
          </w:p>
        </w:tc>
        <w:tc>
          <w:tcPr>
            <w:tcW w:w="1737" w:type="dxa"/>
            <w:noWrap/>
            <w:vAlign w:val="bottom"/>
          </w:tcPr>
          <w:p w14:paraId="782ADEB2" w14:textId="598A5CD0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4,49%</w:t>
            </w:r>
          </w:p>
        </w:tc>
        <w:tc>
          <w:tcPr>
            <w:tcW w:w="1736" w:type="dxa"/>
            <w:noWrap/>
            <w:vAlign w:val="bottom"/>
          </w:tcPr>
          <w:p w14:paraId="1FAE5318" w14:textId="2C177A52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-0,59%</w:t>
            </w:r>
          </w:p>
        </w:tc>
        <w:tc>
          <w:tcPr>
            <w:tcW w:w="1737" w:type="dxa"/>
            <w:noWrap/>
            <w:vAlign w:val="bottom"/>
          </w:tcPr>
          <w:p w14:paraId="7DB68014" w14:textId="1BBC5EB4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6347" w:rsidRPr="00AF18EC" w14:paraId="11C8C31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BE0E7A" w14:textId="2489DABC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563E2E31" w14:textId="579932BD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2,30%</w:t>
            </w:r>
          </w:p>
        </w:tc>
        <w:tc>
          <w:tcPr>
            <w:tcW w:w="1737" w:type="dxa"/>
            <w:noWrap/>
            <w:vAlign w:val="bottom"/>
          </w:tcPr>
          <w:p w14:paraId="2A7EFFC5" w14:textId="2B3C71B3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2,68%</w:t>
            </w:r>
          </w:p>
        </w:tc>
        <w:tc>
          <w:tcPr>
            <w:tcW w:w="1736" w:type="dxa"/>
            <w:noWrap/>
            <w:vAlign w:val="bottom"/>
          </w:tcPr>
          <w:p w14:paraId="6526E69B" w14:textId="48E2AF3A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-0,38%</w:t>
            </w:r>
          </w:p>
        </w:tc>
        <w:tc>
          <w:tcPr>
            <w:tcW w:w="1737" w:type="dxa"/>
            <w:noWrap/>
            <w:vAlign w:val="bottom"/>
          </w:tcPr>
          <w:p w14:paraId="2069B16F" w14:textId="3B691DAF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6347" w:rsidRPr="00AF18EC" w14:paraId="152200EA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DF14C67" w14:textId="4AA4A5B4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0D0CFFB6" w14:textId="2975D025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1,87%</w:t>
            </w:r>
          </w:p>
        </w:tc>
        <w:tc>
          <w:tcPr>
            <w:tcW w:w="1737" w:type="dxa"/>
            <w:noWrap/>
            <w:vAlign w:val="bottom"/>
          </w:tcPr>
          <w:p w14:paraId="46BA98FF" w14:textId="27BEE88B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2,49%</w:t>
            </w:r>
          </w:p>
        </w:tc>
        <w:tc>
          <w:tcPr>
            <w:tcW w:w="1736" w:type="dxa"/>
            <w:noWrap/>
            <w:vAlign w:val="bottom"/>
          </w:tcPr>
          <w:p w14:paraId="7F8C4B18" w14:textId="61EBF2D0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-0,62%</w:t>
            </w:r>
          </w:p>
        </w:tc>
        <w:tc>
          <w:tcPr>
            <w:tcW w:w="1737" w:type="dxa"/>
            <w:noWrap/>
            <w:vAlign w:val="bottom"/>
          </w:tcPr>
          <w:p w14:paraId="4429DD77" w14:textId="33CEF8FE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6347" w:rsidRPr="00AF18EC" w14:paraId="4A9D743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89CCF3" w14:textId="2633038A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45886C1B" w14:textId="0E1B81C1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1,84%</w:t>
            </w:r>
          </w:p>
        </w:tc>
        <w:tc>
          <w:tcPr>
            <w:tcW w:w="1737" w:type="dxa"/>
            <w:noWrap/>
            <w:vAlign w:val="bottom"/>
          </w:tcPr>
          <w:p w14:paraId="1DA81BE1" w14:textId="504D7A91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1,37%</w:t>
            </w:r>
          </w:p>
        </w:tc>
        <w:tc>
          <w:tcPr>
            <w:tcW w:w="1736" w:type="dxa"/>
            <w:noWrap/>
            <w:vAlign w:val="bottom"/>
          </w:tcPr>
          <w:p w14:paraId="554258EF" w14:textId="4763E205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0,47%</w:t>
            </w:r>
          </w:p>
        </w:tc>
        <w:tc>
          <w:tcPr>
            <w:tcW w:w="1737" w:type="dxa"/>
            <w:noWrap/>
            <w:vAlign w:val="bottom"/>
          </w:tcPr>
          <w:p w14:paraId="6D5AACA0" w14:textId="5DE2AF62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6347" w:rsidRPr="00AF18EC" w14:paraId="211D1508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580C9E3" w14:textId="5C6F2D13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8CDC3C3" w14:textId="3021100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1,67%</w:t>
            </w:r>
          </w:p>
        </w:tc>
        <w:tc>
          <w:tcPr>
            <w:tcW w:w="1737" w:type="dxa"/>
            <w:noWrap/>
            <w:vAlign w:val="bottom"/>
          </w:tcPr>
          <w:p w14:paraId="58DBCF74" w14:textId="7F702252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1,77%</w:t>
            </w:r>
          </w:p>
        </w:tc>
        <w:tc>
          <w:tcPr>
            <w:tcW w:w="1736" w:type="dxa"/>
            <w:noWrap/>
            <w:vAlign w:val="bottom"/>
          </w:tcPr>
          <w:p w14:paraId="03B27727" w14:textId="0BE19ED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7091B6C2" w14:textId="6996C204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6347" w:rsidRPr="00AF18EC" w14:paraId="401C5676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3BCA4C0" w14:textId="579E0A97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7095994" w14:textId="65091559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1,30%</w:t>
            </w:r>
          </w:p>
        </w:tc>
        <w:tc>
          <w:tcPr>
            <w:tcW w:w="1737" w:type="dxa"/>
            <w:noWrap/>
            <w:vAlign w:val="bottom"/>
          </w:tcPr>
          <w:p w14:paraId="2CBE581C" w14:textId="2884F703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1D46FFBE" w14:textId="1004F55A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47CDE022" w14:textId="29452735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6347" w:rsidRPr="00AF18EC" w14:paraId="1872A7D6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2DCC1B" w14:textId="5CFDE7DB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69FBD61D" w14:textId="13B4A0F7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0,79%</w:t>
            </w:r>
          </w:p>
        </w:tc>
        <w:tc>
          <w:tcPr>
            <w:tcW w:w="1737" w:type="dxa"/>
            <w:noWrap/>
            <w:vAlign w:val="bottom"/>
          </w:tcPr>
          <w:p w14:paraId="7D51FA1D" w14:textId="138FE67F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6" w:type="dxa"/>
            <w:noWrap/>
            <w:vAlign w:val="bottom"/>
          </w:tcPr>
          <w:p w14:paraId="4CF513BC" w14:textId="128A438C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7102EE08" w14:textId="5D4E082E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6347" w:rsidRPr="00AF18EC" w14:paraId="679B1D7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9D8B32" w14:textId="159CC101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13F1B776" w14:textId="39A4F33E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7" w:type="dxa"/>
            <w:noWrap/>
            <w:vAlign w:val="bottom"/>
          </w:tcPr>
          <w:p w14:paraId="3B17E97C" w14:textId="08146DFD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6" w:type="dxa"/>
            <w:noWrap/>
            <w:vAlign w:val="bottom"/>
          </w:tcPr>
          <w:p w14:paraId="1F650132" w14:textId="12CC3BEF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-0,12%</w:t>
            </w:r>
          </w:p>
        </w:tc>
        <w:tc>
          <w:tcPr>
            <w:tcW w:w="1737" w:type="dxa"/>
            <w:noWrap/>
            <w:vAlign w:val="bottom"/>
          </w:tcPr>
          <w:p w14:paraId="00EB8D5F" w14:textId="4023FC11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26347" w:rsidRPr="00AF18EC" w14:paraId="1CA4228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4C59780" w14:textId="3F89F384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6B51DCD1" w14:textId="2A4FD28A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3E913D87" w14:textId="534CCBD4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6" w:type="dxa"/>
            <w:noWrap/>
            <w:vAlign w:val="bottom"/>
          </w:tcPr>
          <w:p w14:paraId="64F24AC5" w14:textId="443459BC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-0,06%</w:t>
            </w:r>
          </w:p>
        </w:tc>
        <w:tc>
          <w:tcPr>
            <w:tcW w:w="1737" w:type="dxa"/>
            <w:noWrap/>
            <w:vAlign w:val="bottom"/>
          </w:tcPr>
          <w:p w14:paraId="3E2B4288" w14:textId="27635358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6347" w:rsidRPr="00AF18EC" w14:paraId="0E96C4C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CCE3E3" w14:textId="28812CD7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24F75AC" w14:textId="7EA1EDB9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0,27%</w:t>
            </w:r>
          </w:p>
        </w:tc>
        <w:tc>
          <w:tcPr>
            <w:tcW w:w="1737" w:type="dxa"/>
            <w:noWrap/>
            <w:vAlign w:val="bottom"/>
          </w:tcPr>
          <w:p w14:paraId="4D622B23" w14:textId="2529C633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0,22%</w:t>
            </w:r>
          </w:p>
        </w:tc>
        <w:tc>
          <w:tcPr>
            <w:tcW w:w="1736" w:type="dxa"/>
            <w:noWrap/>
            <w:vAlign w:val="bottom"/>
          </w:tcPr>
          <w:p w14:paraId="4A1DCDE2" w14:textId="4EA54CE5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74702DB7" w14:textId="3683DA23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D26347" w:rsidRPr="00AF18EC" w14:paraId="4482C76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081DDF" w14:textId="7B544E99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576EDF75" w14:textId="6C583446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537F777A" w14:textId="0EDA4277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6" w:type="dxa"/>
            <w:noWrap/>
            <w:vAlign w:val="bottom"/>
          </w:tcPr>
          <w:p w14:paraId="5C175358" w14:textId="66348B65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-0,10%</w:t>
            </w:r>
          </w:p>
        </w:tc>
        <w:tc>
          <w:tcPr>
            <w:tcW w:w="1737" w:type="dxa"/>
            <w:noWrap/>
            <w:vAlign w:val="bottom"/>
          </w:tcPr>
          <w:p w14:paraId="05E53083" w14:textId="08D49C6D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6347" w:rsidRPr="00AF18EC" w14:paraId="72141B6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280AD6" w14:textId="5F81C94D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6334A6D5" w14:textId="111488A9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7" w:type="dxa"/>
            <w:noWrap/>
            <w:vAlign w:val="bottom"/>
          </w:tcPr>
          <w:p w14:paraId="75F11337" w14:textId="5BCB6E45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6" w:type="dxa"/>
            <w:noWrap/>
            <w:vAlign w:val="bottom"/>
          </w:tcPr>
          <w:p w14:paraId="3C7B1D04" w14:textId="265233B8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5A14FBFE" w14:textId="3A96EDD7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26347" w:rsidRPr="00AF18EC" w14:paraId="3A662863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6D5B34" w14:textId="4B2F1C55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66508054" w14:textId="695ED0CD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3957F753" w14:textId="757D463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7EB7F8B3" w14:textId="61FB0AC9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2CCEB27" w14:textId="76D9AF6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6347" w:rsidRPr="00AF18EC" w14:paraId="0BEF64F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28231F" w14:textId="182A5829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AD84F34" w14:textId="2B84E5A7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476349F1" w14:textId="246AF975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47188A67" w14:textId="36F0C36A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138261D2" w14:textId="4D857F0A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26347" w:rsidRPr="00AF18EC" w14:paraId="68E725AC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005F78" w14:textId="1567920E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B5B6A56" w14:textId="415ADA62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7D0B6D3C" w14:textId="5578BD6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3A6A8AB6" w14:textId="14066C5D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245841F5" w14:textId="5577E6C1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D26347" w:rsidRPr="00AF18EC" w14:paraId="49083F2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69D373E" w14:textId="73DC5214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85CED62" w14:textId="6645AC8B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000BBAB9" w14:textId="19F94443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6" w:type="dxa"/>
            <w:noWrap/>
            <w:vAlign w:val="bottom"/>
          </w:tcPr>
          <w:p w14:paraId="5D06F0D2" w14:textId="0ABC8A2C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E51892C" w14:textId="7E0D6690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26347" w:rsidRPr="00AF18EC" w14:paraId="0896A9D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6B201E" w14:textId="6324A56F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4BC0926" w14:textId="0FEB8EBC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7" w:type="dxa"/>
            <w:noWrap/>
            <w:vAlign w:val="bottom"/>
          </w:tcPr>
          <w:p w14:paraId="0CB7C003" w14:textId="5ACF7BFE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004DF854" w14:textId="64D493DE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4A3C5BB2" w14:textId="4A398842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D26347" w:rsidRPr="00AF18EC" w14:paraId="6BAF09B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6FD52E0" w14:textId="1C2D394D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0F612BB4" w14:textId="0DFBF2FA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1DD64114" w14:textId="15A5168C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3F8B67F2" w14:textId="795EB566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621F73EC" w14:textId="41620144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D26347" w:rsidRPr="00AF18EC" w14:paraId="6ED502F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156BCE" w14:textId="67D7673E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1D59714" w14:textId="4DA091AF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4A119A8E" w14:textId="2401D073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0630D95" w14:textId="74A69880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130CD85C" w14:textId="363566B4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D26347" w:rsidRPr="00AF18EC" w14:paraId="7CE8AE6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E054E9" w14:textId="39B1D923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526670E" w14:textId="76E3F412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D4C5A07" w14:textId="22174702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2526A57F" w14:textId="720BE3ED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6A7C2CA" w14:textId="4D33F0E2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D26347" w:rsidRPr="00AF18EC" w14:paraId="783691E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786CC9" w14:textId="5CACFC9F" w:rsidR="00D26347" w:rsidRPr="003F2949" w:rsidRDefault="00D26347" w:rsidP="00D2634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77F1FEC2" w14:textId="73643687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9C74AF8" w14:textId="668CBFEB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0D93D48E" w14:textId="40AB8359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7B4DF17F" w14:textId="0EDAB32B" w:rsidR="00D26347" w:rsidRPr="003F2949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26347" w:rsidRPr="00AF18EC" w14:paraId="5DFDE10F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087C24D" w14:textId="46D736BD" w:rsidR="00D26347" w:rsidRPr="003F2949" w:rsidRDefault="00D26347" w:rsidP="00D2634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335E228" w14:textId="236F3F7C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531FEBC" w14:textId="449F0428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A0642D7" w14:textId="7FE6EAD4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D3F3C6C" w14:textId="7DCB6B79" w:rsidR="00D26347" w:rsidRPr="003F2949" w:rsidRDefault="00D26347" w:rsidP="00D26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AF18EC" w14:paraId="5DDFB00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FAFF6E1" w14:textId="5E22D1E0" w:rsidR="007154AA" w:rsidRPr="003F2949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C9F0E4C" w14:textId="2DBD9C52" w:rsidR="007154AA" w:rsidRPr="003F2949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0CF45D7E" w14:textId="61EF2079" w:rsidR="007154AA" w:rsidRPr="003F2949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5B3631F" w14:textId="36EA9F54" w:rsidR="007154AA" w:rsidRPr="003F2949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DEE6685" w14:textId="71006333" w:rsidR="007154AA" w:rsidRPr="003F2949" w:rsidRDefault="007154AA" w:rsidP="00715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4AA" w:rsidRPr="00AF18EC" w14:paraId="1F356389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9707007" w14:textId="77777777" w:rsidR="007154AA" w:rsidRPr="00CE1888" w:rsidRDefault="007154AA" w:rsidP="007154A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986AFEF" w14:textId="327278CD" w:rsidR="007154AA" w:rsidRPr="003F2949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F18332C" w14:textId="16C8DA7C" w:rsidR="007154AA" w:rsidRPr="003F2949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E700689" w14:textId="77777777" w:rsidR="007154AA" w:rsidRPr="00CE188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AB790A8" w14:textId="77777777" w:rsidR="007154AA" w:rsidRPr="00CE1888" w:rsidRDefault="007154AA" w:rsidP="00715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1888" w:rsidRPr="00AF18EC" w14:paraId="252B8E21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E3844D3" w14:textId="77777777" w:rsidR="00CE1888" w:rsidRPr="00CE1888" w:rsidRDefault="00CE1888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B54C7D" w14:textId="77777777" w:rsidR="00CE1888" w:rsidRPr="00CE1888" w:rsidRDefault="00CE1888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441839" w14:textId="77777777" w:rsidR="00CE1888" w:rsidRPr="00CE1888" w:rsidRDefault="00CE1888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62211E" w14:textId="77777777" w:rsidR="00CE1888" w:rsidRPr="00CE1888" w:rsidRDefault="00CE1888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39D50A4" w14:textId="77777777" w:rsidR="00CE1888" w:rsidRPr="00CE1888" w:rsidRDefault="00CE1888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6A39A23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2F846B5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9BD428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CAD23E8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475B5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87ED3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529EF637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D5D1E0A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85619A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A2237F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C8D51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CA3CA9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BE83A6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7587825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805E6F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579EB5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1474EF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7AE11A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A8D9676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714D86E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5BFE67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DF8B89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9CE91D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4BE7B50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65DADF1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4D2040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F0A41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5D38DE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FF87DD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B00522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47" w:rsidRPr="00AF18EC" w14:paraId="309B7B1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2E6BA5C" w14:textId="77777777" w:rsidR="00D26347" w:rsidRPr="00CE1888" w:rsidRDefault="00D26347" w:rsidP="00D2634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8884406" w14:textId="389EE2F0" w:rsidR="00D26347" w:rsidRPr="00CE1888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20,05%</w:t>
            </w:r>
          </w:p>
        </w:tc>
        <w:tc>
          <w:tcPr>
            <w:tcW w:w="1737" w:type="dxa"/>
            <w:noWrap/>
            <w:vAlign w:val="bottom"/>
          </w:tcPr>
          <w:p w14:paraId="0EA6638A" w14:textId="4274E329" w:rsidR="00D26347" w:rsidRPr="00CE1888" w:rsidRDefault="00D26347" w:rsidP="00D26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20,54%</w:t>
            </w:r>
          </w:p>
        </w:tc>
        <w:tc>
          <w:tcPr>
            <w:tcW w:w="1736" w:type="dxa"/>
            <w:noWrap/>
            <w:vAlign w:val="center"/>
          </w:tcPr>
          <w:p w14:paraId="204551F1" w14:textId="77777777" w:rsidR="00D26347" w:rsidRPr="00CE1888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E6555DB" w14:textId="77777777" w:rsidR="00D26347" w:rsidRPr="00CE1888" w:rsidRDefault="00D26347" w:rsidP="00D26347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7CDF49A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32D8A38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51C4AC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96CA1B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785780D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65B3A8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4E1228A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BF6C559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4FDD08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35CC25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2E58015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MINI FUTURES SU INDICE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496F7AE6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5CFBC624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54CA9827" w14:textId="77777777" w:rsidR="00A635A4" w:rsidRPr="00CE188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7B3BFEC2" w14:textId="681317D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7A95C93" w14:textId="02A3A6F4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4751563C" w14:textId="0AC3F2F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6D827A72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62F49B6E" w14:textId="41A04A65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F18EC" w14:paraId="23DFB500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ED4498" w14:textId="038CB2C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466D5C2D" w14:textId="47B4509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12,78%</w:t>
            </w:r>
          </w:p>
        </w:tc>
        <w:tc>
          <w:tcPr>
            <w:tcW w:w="1737" w:type="dxa"/>
            <w:noWrap/>
            <w:vAlign w:val="bottom"/>
          </w:tcPr>
          <w:p w14:paraId="6C7605D5" w14:textId="6B8597A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15,87%</w:t>
            </w:r>
          </w:p>
        </w:tc>
        <w:tc>
          <w:tcPr>
            <w:tcW w:w="1736" w:type="dxa"/>
            <w:noWrap/>
            <w:vAlign w:val="bottom"/>
          </w:tcPr>
          <w:p w14:paraId="06CAB445" w14:textId="7F19100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-3,09%</w:t>
            </w:r>
          </w:p>
        </w:tc>
        <w:tc>
          <w:tcPr>
            <w:tcW w:w="1737" w:type="dxa"/>
            <w:noWrap/>
            <w:vAlign w:val="bottom"/>
          </w:tcPr>
          <w:p w14:paraId="29726028" w14:textId="7F89D01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40BF" w:rsidRPr="00AF18EC" w14:paraId="4D2E7292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2F8C01" w14:textId="6501B91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331AD563" w14:textId="0E263EA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6,43%</w:t>
            </w:r>
          </w:p>
        </w:tc>
        <w:tc>
          <w:tcPr>
            <w:tcW w:w="1737" w:type="dxa"/>
            <w:noWrap/>
            <w:vAlign w:val="bottom"/>
          </w:tcPr>
          <w:p w14:paraId="2778F455" w14:textId="6C3E9FA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5,26%</w:t>
            </w:r>
          </w:p>
        </w:tc>
        <w:tc>
          <w:tcPr>
            <w:tcW w:w="1736" w:type="dxa"/>
            <w:noWrap/>
            <w:vAlign w:val="bottom"/>
          </w:tcPr>
          <w:p w14:paraId="664231A6" w14:textId="3980983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1,16%</w:t>
            </w:r>
          </w:p>
        </w:tc>
        <w:tc>
          <w:tcPr>
            <w:tcW w:w="1737" w:type="dxa"/>
            <w:noWrap/>
            <w:vAlign w:val="bottom"/>
          </w:tcPr>
          <w:p w14:paraId="1477A62B" w14:textId="155C9D9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40BF" w:rsidRPr="00AF18EC" w14:paraId="4D4C54AE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EE38AA" w14:textId="1D16B6B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13007B45" w14:textId="0B6C9D45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3,11%</w:t>
            </w:r>
          </w:p>
        </w:tc>
        <w:tc>
          <w:tcPr>
            <w:tcW w:w="1737" w:type="dxa"/>
            <w:noWrap/>
            <w:vAlign w:val="bottom"/>
          </w:tcPr>
          <w:p w14:paraId="1485D1AC" w14:textId="60DA0D2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3,08%</w:t>
            </w:r>
          </w:p>
        </w:tc>
        <w:tc>
          <w:tcPr>
            <w:tcW w:w="1736" w:type="dxa"/>
            <w:noWrap/>
            <w:vAlign w:val="bottom"/>
          </w:tcPr>
          <w:p w14:paraId="6CC97186" w14:textId="2838382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7150ACF" w14:textId="0FCF5B4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40BF" w:rsidRPr="00AF18EC" w14:paraId="435966C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597ADF" w14:textId="20EE941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7CB6073" w14:textId="7BB3ADC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1,86%</w:t>
            </w:r>
          </w:p>
        </w:tc>
        <w:tc>
          <w:tcPr>
            <w:tcW w:w="1737" w:type="dxa"/>
            <w:noWrap/>
            <w:vAlign w:val="bottom"/>
          </w:tcPr>
          <w:p w14:paraId="504018C2" w14:textId="371FE9A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2,34%</w:t>
            </w:r>
          </w:p>
        </w:tc>
        <w:tc>
          <w:tcPr>
            <w:tcW w:w="1736" w:type="dxa"/>
            <w:noWrap/>
            <w:vAlign w:val="bottom"/>
          </w:tcPr>
          <w:p w14:paraId="4602A36B" w14:textId="5E5313C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-0,48%</w:t>
            </w:r>
          </w:p>
        </w:tc>
        <w:tc>
          <w:tcPr>
            <w:tcW w:w="1737" w:type="dxa"/>
            <w:noWrap/>
            <w:vAlign w:val="bottom"/>
          </w:tcPr>
          <w:p w14:paraId="6E440AA6" w14:textId="342A223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0BF" w:rsidRPr="00AF18EC" w14:paraId="438CF0B3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7C8F6D3" w14:textId="4F6F73EB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53B1D345" w14:textId="01BED35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1,77%</w:t>
            </w:r>
          </w:p>
        </w:tc>
        <w:tc>
          <w:tcPr>
            <w:tcW w:w="1737" w:type="dxa"/>
            <w:noWrap/>
            <w:vAlign w:val="bottom"/>
          </w:tcPr>
          <w:p w14:paraId="6802D701" w14:textId="10BE89B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2,10%</w:t>
            </w:r>
          </w:p>
        </w:tc>
        <w:tc>
          <w:tcPr>
            <w:tcW w:w="1736" w:type="dxa"/>
            <w:noWrap/>
            <w:vAlign w:val="bottom"/>
          </w:tcPr>
          <w:p w14:paraId="4FFF3281" w14:textId="78B54A6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-0,33%</w:t>
            </w:r>
          </w:p>
        </w:tc>
        <w:tc>
          <w:tcPr>
            <w:tcW w:w="1737" w:type="dxa"/>
            <w:noWrap/>
            <w:vAlign w:val="bottom"/>
          </w:tcPr>
          <w:p w14:paraId="0C416358" w14:textId="5DF35E7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40BF" w:rsidRPr="00AF18EC" w14:paraId="5815B77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0FAD2AE" w14:textId="5C7C563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17113EA" w14:textId="2905864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0,42%</w:t>
            </w:r>
          </w:p>
        </w:tc>
        <w:tc>
          <w:tcPr>
            <w:tcW w:w="1737" w:type="dxa"/>
            <w:noWrap/>
            <w:vAlign w:val="bottom"/>
          </w:tcPr>
          <w:p w14:paraId="6A159C0C" w14:textId="53FC3D8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1,22%</w:t>
            </w:r>
          </w:p>
        </w:tc>
        <w:tc>
          <w:tcPr>
            <w:tcW w:w="1736" w:type="dxa"/>
            <w:noWrap/>
            <w:vAlign w:val="bottom"/>
          </w:tcPr>
          <w:p w14:paraId="5A10605C" w14:textId="0ED0928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-0,80%</w:t>
            </w:r>
          </w:p>
        </w:tc>
        <w:tc>
          <w:tcPr>
            <w:tcW w:w="1737" w:type="dxa"/>
            <w:noWrap/>
            <w:vAlign w:val="bottom"/>
          </w:tcPr>
          <w:p w14:paraId="414D9339" w14:textId="7291E08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40BF" w:rsidRPr="00AF18EC" w14:paraId="715B5F64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2C2E31" w14:textId="6160015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3DF4DF19" w14:textId="3B21817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7" w:type="dxa"/>
            <w:noWrap/>
            <w:vAlign w:val="bottom"/>
          </w:tcPr>
          <w:p w14:paraId="761F9EFD" w14:textId="0F6F7D0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0,37%</w:t>
            </w:r>
          </w:p>
        </w:tc>
        <w:tc>
          <w:tcPr>
            <w:tcW w:w="1736" w:type="dxa"/>
            <w:noWrap/>
            <w:vAlign w:val="bottom"/>
          </w:tcPr>
          <w:p w14:paraId="3623591B" w14:textId="431D53F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51E2AC4" w14:textId="572BB27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40BF" w:rsidRPr="00AF18EC" w14:paraId="6029DAB1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9677663" w14:textId="426ADA8C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135A5EE" w14:textId="184EF9B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322B7FDE" w14:textId="28CF891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6" w:type="dxa"/>
            <w:noWrap/>
            <w:vAlign w:val="bottom"/>
          </w:tcPr>
          <w:p w14:paraId="49D52A69" w14:textId="3CCA675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11C8D1EB" w14:textId="3BEB020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40BF" w:rsidRPr="00AF18EC" w14:paraId="641DD22D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B7AC97" w14:textId="41B94100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6164F319" w14:textId="7AFF65E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78CEE28A" w14:textId="32F5450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6" w:type="dxa"/>
            <w:noWrap/>
            <w:vAlign w:val="bottom"/>
          </w:tcPr>
          <w:p w14:paraId="33D5CDE2" w14:textId="06651B65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C48136C" w14:textId="6FD8B7F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0BF" w:rsidRPr="00AF18EC" w14:paraId="4E566C79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714EE2C" w14:textId="6816B3D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2902086B" w14:textId="49FDCD4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4E09C311" w14:textId="28B8903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6" w:type="dxa"/>
            <w:noWrap/>
            <w:vAlign w:val="bottom"/>
          </w:tcPr>
          <w:p w14:paraId="678D46FA" w14:textId="4B81075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1E8E2ED" w14:textId="30025B8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0BF" w:rsidRPr="00AF18EC" w14:paraId="024750F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8C37A5" w14:textId="657E579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23F9F0A" w14:textId="3AF2CD8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0DC52445" w14:textId="0FC3FBE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5F0D1241" w14:textId="6CA2AAE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13822161" w14:textId="378404D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B40BF" w:rsidRPr="00AF18EC" w14:paraId="19A04784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4F90B11" w14:textId="5EB97AC0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612A32AA" w14:textId="0CA6F3C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2AE68A07" w14:textId="7BE25BC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6" w:type="dxa"/>
            <w:noWrap/>
            <w:vAlign w:val="bottom"/>
          </w:tcPr>
          <w:p w14:paraId="6949F6C6" w14:textId="35E7B64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-0,09%</w:t>
            </w:r>
          </w:p>
        </w:tc>
        <w:tc>
          <w:tcPr>
            <w:tcW w:w="1737" w:type="dxa"/>
            <w:noWrap/>
            <w:vAlign w:val="bottom"/>
          </w:tcPr>
          <w:p w14:paraId="558CE7AA" w14:textId="1548019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B40BF" w:rsidRPr="00AF18EC" w14:paraId="0777C79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4E455DD" w14:textId="0671716C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6BEE0FE" w14:textId="4918E9D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7" w:type="dxa"/>
            <w:noWrap/>
            <w:vAlign w:val="bottom"/>
          </w:tcPr>
          <w:p w14:paraId="53CA44B7" w14:textId="5BD0B4E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11BB1586" w14:textId="70B7DD4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51355E84" w14:textId="58B1AA5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40BF" w:rsidRPr="00AF18EC" w14:paraId="58133A9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92FE8CF" w14:textId="32E09DA7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E030C96" w14:textId="6E0CE58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3606C9F5" w14:textId="7FCE98C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1736" w:type="dxa"/>
            <w:noWrap/>
            <w:vAlign w:val="bottom"/>
          </w:tcPr>
          <w:p w14:paraId="3D7E9252" w14:textId="33C6F1D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3BC03738" w14:textId="7237A05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B40BF" w:rsidRPr="00AF18EC" w14:paraId="1E657AAA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4BC2F49" w14:textId="5B0EF30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726F01B2" w14:textId="678E7A6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27A1055F" w14:textId="5FFAD55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6757E327" w14:textId="34D6C06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31B2409C" w14:textId="2DA0BEF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40BF" w:rsidRPr="00AF18EC" w14:paraId="740BC32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61F8501" w14:textId="0ACAA10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723E4882" w14:textId="1A909C8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A709890" w14:textId="015B64D4" w:rsidR="008B40BF" w:rsidRPr="005F40E5" w:rsidRDefault="0025721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E5">
              <w:t>0,01%</w:t>
            </w:r>
          </w:p>
        </w:tc>
        <w:tc>
          <w:tcPr>
            <w:tcW w:w="1736" w:type="dxa"/>
            <w:noWrap/>
            <w:vAlign w:val="bottom"/>
          </w:tcPr>
          <w:p w14:paraId="2C99B789" w14:textId="58B50234" w:rsidR="008B40BF" w:rsidRPr="003F2949" w:rsidRDefault="0025721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</w:t>
            </w:r>
            <w:r w:rsidR="008B40BF">
              <w:rPr>
                <w:rFonts w:ascii="Calibri" w:hAnsi="Calibri" w:cs="Calibri"/>
              </w:rPr>
              <w:t>0,0</w:t>
            </w:r>
            <w:r>
              <w:rPr>
                <w:rFonts w:ascii="Calibri" w:hAnsi="Calibri" w:cs="Calibri"/>
              </w:rPr>
              <w:t>1</w:t>
            </w:r>
            <w:r w:rsidR="008B40BF">
              <w:rPr>
                <w:rFonts w:ascii="Calibri" w:hAnsi="Calibri" w:cs="Calibri"/>
              </w:rPr>
              <w:t>%</w:t>
            </w:r>
          </w:p>
        </w:tc>
        <w:tc>
          <w:tcPr>
            <w:tcW w:w="1737" w:type="dxa"/>
            <w:noWrap/>
            <w:vAlign w:val="bottom"/>
          </w:tcPr>
          <w:p w14:paraId="2022D9D7" w14:textId="010C20C8" w:rsidR="008B40BF" w:rsidRPr="003F2949" w:rsidRDefault="0025721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B40BF" w:rsidRPr="00AF18EC" w14:paraId="6E0D687B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249A168" w14:textId="76D3C63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5DC1D325" w14:textId="3569587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6FCE0D67" w14:textId="2574D27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4EE52CE4" w14:textId="0DBBAA6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8F80610" w14:textId="7385E71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B40BF" w:rsidRPr="00AF18EC" w14:paraId="3D78F290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6E1A44" w14:textId="72FF793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01F2659E" w14:textId="4DD9B8E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B3119BE" w14:textId="349736E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35B56279" w14:textId="2821421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A8F7B46" w14:textId="1EF1127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40BF" w:rsidRPr="00AF18EC" w14:paraId="4D444C5C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FE58C0" w14:textId="215F5713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2F9FA0CE" w14:textId="619C2B9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9E8DD9F" w14:textId="3F407EA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58AEDFD" w14:textId="28483EE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DD8B27E" w14:textId="76A253D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40BF" w:rsidRPr="00AF18EC" w14:paraId="2A509087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032554A" w14:textId="4C77988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5FED8FE" w14:textId="232448A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D74B56" w14:textId="4203993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3A71EB86" w14:textId="1F1A94F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F653FE2" w14:textId="59D0F54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40BF" w:rsidRPr="00AF18EC" w14:paraId="0B2A6D42" w14:textId="77777777" w:rsidTr="0071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FC55332" w14:textId="405FB908" w:rsidR="008B40BF" w:rsidRPr="00CE1888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0015A24C" w14:textId="334A3FE0" w:rsidR="008B40BF" w:rsidRPr="00CE1888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8FFFE45" w14:textId="4281314B" w:rsidR="008B40BF" w:rsidRPr="00CE1888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6FCA93E7" w14:textId="714CD792" w:rsidR="008B40BF" w:rsidRPr="00CE1888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998EF8A" w14:textId="2BF6E743" w:rsidR="008B40BF" w:rsidRPr="00CE1888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8B40BF" w:rsidRPr="00AF18EC" w14:paraId="2F50B074" w14:textId="77777777" w:rsidTr="008B40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AE3492" w14:textId="77777777" w:rsidR="008B40BF" w:rsidRPr="00CE1888" w:rsidRDefault="008B40BF" w:rsidP="008B40B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723BCB3" w14:textId="0C243B8F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10AFC03" w14:textId="4CDE6DB9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D72E8E3" w14:textId="77777777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C5D3896" w14:textId="77777777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7A9D9EE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58E2370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8F25C98" w14:textId="4C5C9363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4D73C6B" w14:textId="7590BAD6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357876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5B2B6C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BC34F43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BE7025B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852142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DB233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E3883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7ECA00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5F6CE7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EC46B58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056FD0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4363BF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A6D8E0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EDB166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EC05372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85BD120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572721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8FE8C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5E1B68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F24B85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9A9034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34E09AA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3D5A30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5DB856E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19A908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1A81E8E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989096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3F0996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0391A78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9B94D9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E1F46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69810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93922A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93A45BA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B91C8D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D29288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34C4E9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170A36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4B2ADD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FF3F72D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D5E594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792FFA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D65CEB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5B7BBF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81DE32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5C443BC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5675E5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9AD75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43229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E936888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40BF" w:rsidRPr="00AF18EC" w14:paraId="066E474B" w14:textId="77777777" w:rsidTr="00715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DA110E9" w14:textId="77777777" w:rsidR="008B40BF" w:rsidRPr="00CE1888" w:rsidRDefault="008B40BF" w:rsidP="008B40B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37129323" w14:textId="3209A5C0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27,28%</w:t>
            </w:r>
          </w:p>
        </w:tc>
        <w:tc>
          <w:tcPr>
            <w:tcW w:w="1737" w:type="dxa"/>
            <w:noWrap/>
            <w:vAlign w:val="bottom"/>
          </w:tcPr>
          <w:p w14:paraId="5EA36D0C" w14:textId="37287564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30,93%</w:t>
            </w:r>
          </w:p>
        </w:tc>
        <w:tc>
          <w:tcPr>
            <w:tcW w:w="1736" w:type="dxa"/>
            <w:noWrap/>
            <w:vAlign w:val="center"/>
          </w:tcPr>
          <w:p w14:paraId="3E9B3C34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4615E5F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FB1C77C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23EC592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D2E76F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A969E33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F3FD47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EC7573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6A900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3237644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27CEAD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D4B0A28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2D193A0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OPZIONI SU INDICE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5D191499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1FA0CDEE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2638299E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3A16BC9" w14:textId="6C8D0D5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2B0F29B" w14:textId="60D0D6A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0958166E" w14:textId="5B84427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B0CFA54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0080B29" w14:textId="1BEC51F1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F18EC" w14:paraId="78FBBD01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708F97A" w14:textId="71061F7C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2E57AB3E" w14:textId="12F2C41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11,77%</w:t>
            </w:r>
          </w:p>
        </w:tc>
        <w:tc>
          <w:tcPr>
            <w:tcW w:w="1737" w:type="dxa"/>
            <w:noWrap/>
            <w:vAlign w:val="bottom"/>
          </w:tcPr>
          <w:p w14:paraId="74512EFB" w14:textId="0659A3D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11,96%</w:t>
            </w:r>
          </w:p>
        </w:tc>
        <w:tc>
          <w:tcPr>
            <w:tcW w:w="1736" w:type="dxa"/>
            <w:noWrap/>
            <w:vAlign w:val="bottom"/>
          </w:tcPr>
          <w:p w14:paraId="69843BA2" w14:textId="37F0124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10F097C9" w14:textId="0FFA021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40BF" w:rsidRPr="00AF18EC" w14:paraId="600DB131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C8EB809" w14:textId="052EED1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3A372808" w14:textId="744A892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8,94%</w:t>
            </w:r>
          </w:p>
        </w:tc>
        <w:tc>
          <w:tcPr>
            <w:tcW w:w="1737" w:type="dxa"/>
            <w:noWrap/>
            <w:vAlign w:val="bottom"/>
          </w:tcPr>
          <w:p w14:paraId="710790FF" w14:textId="6A7CC2C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9,58%</w:t>
            </w:r>
          </w:p>
        </w:tc>
        <w:tc>
          <w:tcPr>
            <w:tcW w:w="1736" w:type="dxa"/>
            <w:noWrap/>
            <w:vAlign w:val="bottom"/>
          </w:tcPr>
          <w:p w14:paraId="4A527B86" w14:textId="4F4876C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-0,65%</w:t>
            </w:r>
          </w:p>
        </w:tc>
        <w:tc>
          <w:tcPr>
            <w:tcW w:w="1737" w:type="dxa"/>
            <w:noWrap/>
            <w:vAlign w:val="bottom"/>
          </w:tcPr>
          <w:p w14:paraId="5959AB4E" w14:textId="2A0266A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40BF" w:rsidRPr="00AF18EC" w14:paraId="58AA6E2A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53872F" w14:textId="3928AF6B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0775DC83" w14:textId="68DE6FC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7,77%</w:t>
            </w:r>
          </w:p>
        </w:tc>
        <w:tc>
          <w:tcPr>
            <w:tcW w:w="1737" w:type="dxa"/>
            <w:noWrap/>
            <w:vAlign w:val="bottom"/>
          </w:tcPr>
          <w:p w14:paraId="4F99372D" w14:textId="3873830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6,09%</w:t>
            </w:r>
          </w:p>
        </w:tc>
        <w:tc>
          <w:tcPr>
            <w:tcW w:w="1736" w:type="dxa"/>
            <w:noWrap/>
            <w:vAlign w:val="bottom"/>
          </w:tcPr>
          <w:p w14:paraId="43E68BEB" w14:textId="4275A96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1,68%</w:t>
            </w:r>
          </w:p>
        </w:tc>
        <w:tc>
          <w:tcPr>
            <w:tcW w:w="1737" w:type="dxa"/>
            <w:noWrap/>
            <w:vAlign w:val="bottom"/>
          </w:tcPr>
          <w:p w14:paraId="7E9296A7" w14:textId="36F0F82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0BF" w:rsidRPr="00AF18EC" w14:paraId="6EBAC338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D5137DF" w14:textId="556C2C22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4FD92E18" w14:textId="31E5F0E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6,93%</w:t>
            </w:r>
          </w:p>
        </w:tc>
        <w:tc>
          <w:tcPr>
            <w:tcW w:w="1737" w:type="dxa"/>
            <w:noWrap/>
            <w:vAlign w:val="bottom"/>
          </w:tcPr>
          <w:p w14:paraId="59CA1E84" w14:textId="5D571AD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6,95%</w:t>
            </w:r>
          </w:p>
        </w:tc>
        <w:tc>
          <w:tcPr>
            <w:tcW w:w="1736" w:type="dxa"/>
            <w:noWrap/>
            <w:vAlign w:val="bottom"/>
          </w:tcPr>
          <w:p w14:paraId="3A0198F4" w14:textId="71ACA26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6A558ACD" w14:textId="06DF71D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40BF" w:rsidRPr="00AF18EC" w14:paraId="4FE1DA50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DE03900" w14:textId="451FC4FC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6DF78000" w14:textId="6ED4DCF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2,33%</w:t>
            </w:r>
          </w:p>
        </w:tc>
        <w:tc>
          <w:tcPr>
            <w:tcW w:w="1737" w:type="dxa"/>
            <w:noWrap/>
            <w:vAlign w:val="bottom"/>
          </w:tcPr>
          <w:p w14:paraId="4AF67962" w14:textId="772F209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2,46%</w:t>
            </w:r>
          </w:p>
        </w:tc>
        <w:tc>
          <w:tcPr>
            <w:tcW w:w="1736" w:type="dxa"/>
            <w:noWrap/>
            <w:vAlign w:val="bottom"/>
          </w:tcPr>
          <w:p w14:paraId="6C9B8854" w14:textId="660227B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-0,13%</w:t>
            </w:r>
          </w:p>
        </w:tc>
        <w:tc>
          <w:tcPr>
            <w:tcW w:w="1737" w:type="dxa"/>
            <w:noWrap/>
            <w:vAlign w:val="bottom"/>
          </w:tcPr>
          <w:p w14:paraId="25C9F5A7" w14:textId="7BBB19E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40BF" w:rsidRPr="00AF18EC" w14:paraId="18DD9F1E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6811651" w14:textId="53DDC57A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4141E071" w14:textId="7DEDBE3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2,22%</w:t>
            </w:r>
          </w:p>
        </w:tc>
        <w:tc>
          <w:tcPr>
            <w:tcW w:w="1737" w:type="dxa"/>
            <w:noWrap/>
            <w:vAlign w:val="bottom"/>
          </w:tcPr>
          <w:p w14:paraId="174C1FAD" w14:textId="24A86A6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0,44%</w:t>
            </w:r>
          </w:p>
        </w:tc>
        <w:tc>
          <w:tcPr>
            <w:tcW w:w="1736" w:type="dxa"/>
            <w:noWrap/>
            <w:vAlign w:val="bottom"/>
          </w:tcPr>
          <w:p w14:paraId="5E67F468" w14:textId="6C07B50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1,78%</w:t>
            </w:r>
          </w:p>
        </w:tc>
        <w:tc>
          <w:tcPr>
            <w:tcW w:w="1737" w:type="dxa"/>
            <w:noWrap/>
            <w:vAlign w:val="bottom"/>
          </w:tcPr>
          <w:p w14:paraId="55181B56" w14:textId="7EB8E12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40BF" w:rsidRPr="00AF18EC" w14:paraId="3CC66D87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92DF275" w14:textId="15A268B7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42BB1A97" w14:textId="1297FC5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2,03%</w:t>
            </w:r>
          </w:p>
        </w:tc>
        <w:tc>
          <w:tcPr>
            <w:tcW w:w="1737" w:type="dxa"/>
            <w:noWrap/>
            <w:vAlign w:val="bottom"/>
          </w:tcPr>
          <w:p w14:paraId="1EF7F384" w14:textId="6BB8507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0,88%</w:t>
            </w:r>
          </w:p>
        </w:tc>
        <w:tc>
          <w:tcPr>
            <w:tcW w:w="1736" w:type="dxa"/>
            <w:noWrap/>
            <w:vAlign w:val="bottom"/>
          </w:tcPr>
          <w:p w14:paraId="2945CE92" w14:textId="18F50F8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1,15%</w:t>
            </w:r>
          </w:p>
        </w:tc>
        <w:tc>
          <w:tcPr>
            <w:tcW w:w="1737" w:type="dxa"/>
            <w:noWrap/>
            <w:vAlign w:val="bottom"/>
          </w:tcPr>
          <w:p w14:paraId="761272AE" w14:textId="0C60629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40BF" w:rsidRPr="00AF18EC" w14:paraId="5C6489D5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64B8AC" w14:textId="68B3F4F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6A0D7626" w14:textId="5AC91F4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0,86%</w:t>
            </w:r>
          </w:p>
        </w:tc>
        <w:tc>
          <w:tcPr>
            <w:tcW w:w="1737" w:type="dxa"/>
            <w:noWrap/>
            <w:vAlign w:val="bottom"/>
          </w:tcPr>
          <w:p w14:paraId="217A7D94" w14:textId="70C1396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0,74%</w:t>
            </w:r>
          </w:p>
        </w:tc>
        <w:tc>
          <w:tcPr>
            <w:tcW w:w="1736" w:type="dxa"/>
            <w:noWrap/>
            <w:vAlign w:val="bottom"/>
          </w:tcPr>
          <w:p w14:paraId="73304E36" w14:textId="3FC361F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0,12%</w:t>
            </w:r>
          </w:p>
        </w:tc>
        <w:tc>
          <w:tcPr>
            <w:tcW w:w="1737" w:type="dxa"/>
            <w:noWrap/>
            <w:vAlign w:val="bottom"/>
          </w:tcPr>
          <w:p w14:paraId="1F355758" w14:textId="4591C97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0BF" w:rsidRPr="00AF18EC" w14:paraId="75EC18DA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808996E" w14:textId="04EBF0A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1CF2DDC4" w14:textId="6A7BA5C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2C3262A6" w14:textId="2494D50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1,25%</w:t>
            </w:r>
          </w:p>
        </w:tc>
        <w:tc>
          <w:tcPr>
            <w:tcW w:w="1736" w:type="dxa"/>
            <w:noWrap/>
            <w:vAlign w:val="bottom"/>
          </w:tcPr>
          <w:p w14:paraId="23FF47DC" w14:textId="7CBE78A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13747653" w14:textId="3226FD6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40BF" w:rsidRPr="00AF18EC" w14:paraId="24440121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D826711" w14:textId="1CD41962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0EB8EB65" w14:textId="0FDE8A9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0,85%</w:t>
            </w:r>
          </w:p>
        </w:tc>
        <w:tc>
          <w:tcPr>
            <w:tcW w:w="1737" w:type="dxa"/>
            <w:noWrap/>
            <w:vAlign w:val="bottom"/>
          </w:tcPr>
          <w:p w14:paraId="672B2AAD" w14:textId="677768F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7E111665" w14:textId="6B03C39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0,81%</w:t>
            </w:r>
          </w:p>
        </w:tc>
        <w:tc>
          <w:tcPr>
            <w:tcW w:w="1737" w:type="dxa"/>
            <w:noWrap/>
            <w:vAlign w:val="bottom"/>
          </w:tcPr>
          <w:p w14:paraId="709521F1" w14:textId="0A72961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B40BF" w:rsidRPr="00AF18EC" w14:paraId="076F6D12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FEC1C16" w14:textId="68F42F3E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7FFE74AB" w14:textId="7AC53D4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0,78%</w:t>
            </w:r>
          </w:p>
        </w:tc>
        <w:tc>
          <w:tcPr>
            <w:tcW w:w="1737" w:type="dxa"/>
            <w:noWrap/>
            <w:vAlign w:val="bottom"/>
          </w:tcPr>
          <w:p w14:paraId="5FCECDEA" w14:textId="7BCCD23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6" w:type="dxa"/>
            <w:noWrap/>
            <w:vAlign w:val="bottom"/>
          </w:tcPr>
          <w:p w14:paraId="1BBE6559" w14:textId="7BAA5B5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7" w:type="dxa"/>
            <w:noWrap/>
            <w:vAlign w:val="bottom"/>
          </w:tcPr>
          <w:p w14:paraId="7242CAEA" w14:textId="517E986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B40BF" w:rsidRPr="00AF18EC" w14:paraId="321FDED6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8B7FAF8" w14:textId="00A8AC9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2523D51C" w14:textId="61F2C1A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0,71%</w:t>
            </w:r>
          </w:p>
        </w:tc>
        <w:tc>
          <w:tcPr>
            <w:tcW w:w="1737" w:type="dxa"/>
            <w:noWrap/>
            <w:vAlign w:val="bottom"/>
          </w:tcPr>
          <w:p w14:paraId="6AB364EB" w14:textId="38FCDDF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6" w:type="dxa"/>
            <w:noWrap/>
            <w:vAlign w:val="bottom"/>
          </w:tcPr>
          <w:p w14:paraId="7F336BBA" w14:textId="57DD3DE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72B8AF09" w14:textId="5D9C9E9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B40BF" w:rsidRPr="00AF18EC" w14:paraId="0F9BD69A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B4873F" w14:textId="5C7CA7E6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27B524A6" w14:textId="3542005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0,61%</w:t>
            </w:r>
          </w:p>
        </w:tc>
        <w:tc>
          <w:tcPr>
            <w:tcW w:w="1737" w:type="dxa"/>
            <w:noWrap/>
            <w:vAlign w:val="bottom"/>
          </w:tcPr>
          <w:p w14:paraId="6B4BC6F3" w14:textId="4014D98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0,90%</w:t>
            </w:r>
          </w:p>
        </w:tc>
        <w:tc>
          <w:tcPr>
            <w:tcW w:w="1736" w:type="dxa"/>
            <w:noWrap/>
            <w:vAlign w:val="bottom"/>
          </w:tcPr>
          <w:p w14:paraId="551C3F87" w14:textId="7AE9356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-0,29%</w:t>
            </w:r>
          </w:p>
        </w:tc>
        <w:tc>
          <w:tcPr>
            <w:tcW w:w="1737" w:type="dxa"/>
            <w:noWrap/>
            <w:vAlign w:val="bottom"/>
          </w:tcPr>
          <w:p w14:paraId="37BE0392" w14:textId="5FB1AC5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40BF" w:rsidRPr="00AF18EC" w14:paraId="6C91A106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848E43" w14:textId="3E2C96C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405282A5" w14:textId="4FA1846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0,55%</w:t>
            </w:r>
          </w:p>
        </w:tc>
        <w:tc>
          <w:tcPr>
            <w:tcW w:w="1737" w:type="dxa"/>
            <w:noWrap/>
            <w:vAlign w:val="bottom"/>
          </w:tcPr>
          <w:p w14:paraId="386AD9C5" w14:textId="0261F03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76312EA2" w14:textId="024829D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0,43%</w:t>
            </w:r>
          </w:p>
        </w:tc>
        <w:tc>
          <w:tcPr>
            <w:tcW w:w="1737" w:type="dxa"/>
            <w:noWrap/>
            <w:vAlign w:val="bottom"/>
          </w:tcPr>
          <w:p w14:paraId="57D6F569" w14:textId="2579229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40BF" w:rsidRPr="00AF18EC" w14:paraId="3E801B8D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9DB41E4" w14:textId="33313918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B7B9215" w14:textId="0268270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0,48%</w:t>
            </w:r>
          </w:p>
        </w:tc>
        <w:tc>
          <w:tcPr>
            <w:tcW w:w="1737" w:type="dxa"/>
            <w:noWrap/>
            <w:vAlign w:val="bottom"/>
          </w:tcPr>
          <w:p w14:paraId="2EA009B2" w14:textId="70AE4B8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0,73%</w:t>
            </w:r>
          </w:p>
        </w:tc>
        <w:tc>
          <w:tcPr>
            <w:tcW w:w="1736" w:type="dxa"/>
            <w:noWrap/>
            <w:vAlign w:val="bottom"/>
          </w:tcPr>
          <w:p w14:paraId="4CA0B1E1" w14:textId="699449E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-0,25%</w:t>
            </w:r>
          </w:p>
        </w:tc>
        <w:tc>
          <w:tcPr>
            <w:tcW w:w="1737" w:type="dxa"/>
            <w:noWrap/>
            <w:vAlign w:val="bottom"/>
          </w:tcPr>
          <w:p w14:paraId="4BD4D1C4" w14:textId="78E49F0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0BF" w:rsidRPr="00AF18EC" w14:paraId="1D9D99B3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3ADD7C6" w14:textId="75B69807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4F3BA1D1" w14:textId="78F32A5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7" w:type="dxa"/>
            <w:noWrap/>
            <w:vAlign w:val="bottom"/>
          </w:tcPr>
          <w:p w14:paraId="3DBBB56E" w14:textId="23AD52A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0,33%</w:t>
            </w:r>
          </w:p>
        </w:tc>
        <w:tc>
          <w:tcPr>
            <w:tcW w:w="1736" w:type="dxa"/>
            <w:noWrap/>
            <w:vAlign w:val="bottom"/>
          </w:tcPr>
          <w:p w14:paraId="652C0304" w14:textId="4B48D04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647CAA49" w14:textId="436ACDB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B40BF" w:rsidRPr="00AF18EC" w14:paraId="627A18B9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21E2013" w14:textId="7362DFD6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18C14DA6" w14:textId="3332065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4ACC9D7D" w14:textId="2129D2C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26C2A97E" w14:textId="5C89003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14ECFB87" w14:textId="0ED99CC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B40BF" w:rsidRPr="00AF18EC" w14:paraId="76BA39B1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135145" w14:textId="4D60B950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5D21724C" w14:textId="12B21A4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672AAA38" w14:textId="03273CC7" w:rsidR="008B40BF" w:rsidRPr="005F40E5" w:rsidRDefault="005F40E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E5">
              <w:t>0,23%</w:t>
            </w:r>
          </w:p>
        </w:tc>
        <w:tc>
          <w:tcPr>
            <w:tcW w:w="1736" w:type="dxa"/>
            <w:noWrap/>
            <w:vAlign w:val="bottom"/>
          </w:tcPr>
          <w:p w14:paraId="6AD11F20" w14:textId="4785EA32" w:rsidR="008B40BF" w:rsidRPr="003F2949" w:rsidRDefault="005F40E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</w:t>
            </w:r>
            <w:r w:rsidR="008B40BF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15</w:t>
            </w:r>
            <w:r w:rsidR="008B40BF">
              <w:rPr>
                <w:rFonts w:ascii="Calibri" w:hAnsi="Calibri" w:cs="Calibri"/>
              </w:rPr>
              <w:t>%</w:t>
            </w:r>
          </w:p>
        </w:tc>
        <w:tc>
          <w:tcPr>
            <w:tcW w:w="1737" w:type="dxa"/>
            <w:noWrap/>
            <w:vAlign w:val="bottom"/>
          </w:tcPr>
          <w:p w14:paraId="73A40755" w14:textId="1999D369" w:rsidR="008B40BF" w:rsidRPr="003F2949" w:rsidRDefault="005F40E5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40BF" w:rsidRPr="00AF18EC" w14:paraId="4CF51EEA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443834" w14:textId="177B7E23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112D1B4E" w14:textId="77A2CBE5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0A7D2ED8" w14:textId="3B74FF7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7F7ACE16" w14:textId="127921A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254115FC" w14:textId="4C0D61C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B40BF" w:rsidRPr="00AF18EC" w14:paraId="55269F3E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2AFE3F3" w14:textId="386C11A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60C8E586" w14:textId="24ED82F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161A3673" w14:textId="46C6150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06A79B6B" w14:textId="3821521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67020FD7" w14:textId="7157C83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8B40BF" w:rsidRPr="00AF18EC" w14:paraId="73C81A18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5B7FC31" w14:textId="4FA91A8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3E52C881" w14:textId="256CB08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08E2DB80" w14:textId="55BBDC1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6" w:type="dxa"/>
            <w:noWrap/>
            <w:vAlign w:val="bottom"/>
          </w:tcPr>
          <w:p w14:paraId="020B80CA" w14:textId="22F7440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E587D35" w14:textId="02F9D36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B40BF" w:rsidRPr="00AF18EC" w14:paraId="3C7BE7CA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9DF245" w14:textId="452FF0DB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6C641C1A" w14:textId="5B37E49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579705E2" w14:textId="0A4A50D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6" w:type="dxa"/>
            <w:noWrap/>
            <w:vAlign w:val="bottom"/>
          </w:tcPr>
          <w:p w14:paraId="57C9936E" w14:textId="600B76C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6B29C51D" w14:textId="32D9B9F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40BF" w:rsidRPr="00AF18EC" w14:paraId="1557EA57" w14:textId="77777777" w:rsidTr="00A30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780CC4" w14:textId="287CA81B" w:rsidR="008B40BF" w:rsidRPr="003F2949" w:rsidRDefault="008B40BF" w:rsidP="008B40B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08EB9FC" w14:textId="4F54831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E81B8E8" w14:textId="3949627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019F9D9D" w14:textId="7FB3632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36E30ED" w14:textId="3F2814D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FC2" w:rsidRPr="00AF18EC" w14:paraId="533F9BE8" w14:textId="77777777" w:rsidTr="00451F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8C5BC4F" w14:textId="77777777" w:rsidR="00FC3FC2" w:rsidRPr="00CE1888" w:rsidRDefault="00FC3FC2" w:rsidP="00FC3FC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4D5FF17" w14:textId="1F7A0A5D" w:rsidR="00FC3FC2" w:rsidRPr="00FC3FC2" w:rsidRDefault="00FC3FC2" w:rsidP="00FC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0A7C769" w14:textId="3FEDC3B7" w:rsidR="00FC3FC2" w:rsidRPr="00FC3FC2" w:rsidRDefault="00FC3FC2" w:rsidP="00FC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F99C782" w14:textId="77777777" w:rsidR="00FC3FC2" w:rsidRPr="00CE1888" w:rsidRDefault="00FC3FC2" w:rsidP="00FC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2987A131" w14:textId="77777777" w:rsidR="00FC3FC2" w:rsidRPr="00CE1888" w:rsidRDefault="00FC3FC2" w:rsidP="00FC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43E0AFA6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A4CFB95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5C56FA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F81721D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4038C57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72BBC39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5FF90410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DBF3E16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CBD901B" w14:textId="7EA34353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F4E4BE7" w14:textId="4411EC4E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9C2AC92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C6313BC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517A022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F1DC1CF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A126E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85E1368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C1B4C0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4195A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6077569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666F81D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749607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507108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B1297B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353EF1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346B601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72FF7E4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645A8E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96CFC1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5108A5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6995460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150624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AC0F0A5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6DCD13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52412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E9B6FA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C165F3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B46C1CA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3D723B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F813EB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C4F4D7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95BB26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DD83A7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40BF" w:rsidRPr="00AF18EC" w14:paraId="5FE434C4" w14:textId="77777777" w:rsidTr="00A30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8539D3" w14:textId="77777777" w:rsidR="008B40BF" w:rsidRPr="00CE1888" w:rsidRDefault="008B40BF" w:rsidP="008B40B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26082C85" w14:textId="757D278F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48,33%</w:t>
            </w:r>
          </w:p>
        </w:tc>
        <w:tc>
          <w:tcPr>
            <w:tcW w:w="1737" w:type="dxa"/>
            <w:noWrap/>
            <w:vAlign w:val="bottom"/>
          </w:tcPr>
          <w:p w14:paraId="22A0AE21" w14:textId="5D639255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43,84%</w:t>
            </w:r>
          </w:p>
        </w:tc>
        <w:tc>
          <w:tcPr>
            <w:tcW w:w="1736" w:type="dxa"/>
            <w:noWrap/>
            <w:vAlign w:val="center"/>
          </w:tcPr>
          <w:p w14:paraId="0944EA3B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3DA7C6D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0C934DE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1FE178B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BDA02BE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5A8054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9DFF904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061087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58D7F7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05EC1D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E3FC40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F510A3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302354D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OPZIONI SU AZIONI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76C3A9D4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0BA2B0FD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4B572892" w14:textId="77777777" w:rsidR="00A635A4" w:rsidRPr="00CE188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69BC3AEF" w14:textId="59F29342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752DD11E" w14:textId="37BAFD9B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79BC541F" w14:textId="6047347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51480EB0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57F92238" w14:textId="54684FB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F18EC" w14:paraId="129F47B5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B6C89F0" w14:textId="3540FBBE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0DF4A697" w14:textId="1906846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10,75%</w:t>
            </w:r>
          </w:p>
        </w:tc>
        <w:tc>
          <w:tcPr>
            <w:tcW w:w="1737" w:type="dxa"/>
            <w:noWrap/>
            <w:vAlign w:val="bottom"/>
          </w:tcPr>
          <w:p w14:paraId="7DA79FA1" w14:textId="2A12889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11,99%</w:t>
            </w:r>
          </w:p>
        </w:tc>
        <w:tc>
          <w:tcPr>
            <w:tcW w:w="1736" w:type="dxa"/>
            <w:noWrap/>
            <w:vAlign w:val="bottom"/>
          </w:tcPr>
          <w:p w14:paraId="22A3ED35" w14:textId="240DBCA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-1,25%</w:t>
            </w:r>
          </w:p>
        </w:tc>
        <w:tc>
          <w:tcPr>
            <w:tcW w:w="1737" w:type="dxa"/>
            <w:noWrap/>
            <w:vAlign w:val="bottom"/>
          </w:tcPr>
          <w:p w14:paraId="05CFDEB4" w14:textId="3E0C13D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40BF" w:rsidRPr="00AF18EC" w14:paraId="42FE68A7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8E9398" w14:textId="7060D9AB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0FC0E179" w14:textId="4E8B5D6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7,35%</w:t>
            </w:r>
          </w:p>
        </w:tc>
        <w:tc>
          <w:tcPr>
            <w:tcW w:w="1737" w:type="dxa"/>
            <w:noWrap/>
            <w:vAlign w:val="bottom"/>
          </w:tcPr>
          <w:p w14:paraId="75969BB9" w14:textId="538BCC1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7,33%</w:t>
            </w:r>
          </w:p>
        </w:tc>
        <w:tc>
          <w:tcPr>
            <w:tcW w:w="1736" w:type="dxa"/>
            <w:noWrap/>
            <w:vAlign w:val="bottom"/>
          </w:tcPr>
          <w:p w14:paraId="2DE0EDF6" w14:textId="3520FEE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2915C39F" w14:textId="4DE06D8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40BF" w:rsidRPr="00AF18EC" w14:paraId="493121AC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01A9DB" w14:textId="35D71DC0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1BDE1293" w14:textId="189D27B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5,40%</w:t>
            </w:r>
          </w:p>
        </w:tc>
        <w:tc>
          <w:tcPr>
            <w:tcW w:w="1737" w:type="dxa"/>
            <w:noWrap/>
            <w:vAlign w:val="bottom"/>
          </w:tcPr>
          <w:p w14:paraId="317B46FA" w14:textId="60087C1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4,48%</w:t>
            </w:r>
          </w:p>
        </w:tc>
        <w:tc>
          <w:tcPr>
            <w:tcW w:w="1736" w:type="dxa"/>
            <w:noWrap/>
            <w:vAlign w:val="bottom"/>
          </w:tcPr>
          <w:p w14:paraId="615EB9CA" w14:textId="408CEFB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0,92%</w:t>
            </w:r>
          </w:p>
        </w:tc>
        <w:tc>
          <w:tcPr>
            <w:tcW w:w="1737" w:type="dxa"/>
            <w:noWrap/>
            <w:vAlign w:val="bottom"/>
          </w:tcPr>
          <w:p w14:paraId="0A0A537A" w14:textId="79D63C1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40BF" w:rsidRPr="00AF18EC" w14:paraId="32428C42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CE59FB8" w14:textId="2ACD1A8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02D46B0" w14:textId="198049F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4,36%</w:t>
            </w:r>
          </w:p>
        </w:tc>
        <w:tc>
          <w:tcPr>
            <w:tcW w:w="1737" w:type="dxa"/>
            <w:noWrap/>
            <w:vAlign w:val="bottom"/>
          </w:tcPr>
          <w:p w14:paraId="33FD96B2" w14:textId="69A38D0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4,14%</w:t>
            </w:r>
          </w:p>
        </w:tc>
        <w:tc>
          <w:tcPr>
            <w:tcW w:w="1736" w:type="dxa"/>
            <w:noWrap/>
            <w:vAlign w:val="bottom"/>
          </w:tcPr>
          <w:p w14:paraId="228AEC74" w14:textId="4265699B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0,23%</w:t>
            </w:r>
          </w:p>
        </w:tc>
        <w:tc>
          <w:tcPr>
            <w:tcW w:w="1737" w:type="dxa"/>
            <w:noWrap/>
            <w:vAlign w:val="bottom"/>
          </w:tcPr>
          <w:p w14:paraId="469DE40C" w14:textId="47913E0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40BF" w:rsidRPr="00AF18EC" w14:paraId="16A24C74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E0B8908" w14:textId="2A051012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5B94D591" w14:textId="1F465C9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4,09%</w:t>
            </w:r>
          </w:p>
        </w:tc>
        <w:tc>
          <w:tcPr>
            <w:tcW w:w="1737" w:type="dxa"/>
            <w:noWrap/>
            <w:vAlign w:val="bottom"/>
          </w:tcPr>
          <w:p w14:paraId="77D1F776" w14:textId="695B6685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4,22%</w:t>
            </w:r>
          </w:p>
        </w:tc>
        <w:tc>
          <w:tcPr>
            <w:tcW w:w="1736" w:type="dxa"/>
            <w:noWrap/>
            <w:vAlign w:val="bottom"/>
          </w:tcPr>
          <w:p w14:paraId="4D0F5743" w14:textId="7278EFB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-0,13%</w:t>
            </w:r>
          </w:p>
        </w:tc>
        <w:tc>
          <w:tcPr>
            <w:tcW w:w="1737" w:type="dxa"/>
            <w:noWrap/>
            <w:vAlign w:val="bottom"/>
          </w:tcPr>
          <w:p w14:paraId="609386AC" w14:textId="2490C21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0BF" w:rsidRPr="00AF18EC" w14:paraId="11685A91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5BBB0E" w14:textId="60734712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923FBC7" w14:textId="417A5F6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2,57%</w:t>
            </w:r>
          </w:p>
        </w:tc>
        <w:tc>
          <w:tcPr>
            <w:tcW w:w="1737" w:type="dxa"/>
            <w:noWrap/>
            <w:vAlign w:val="bottom"/>
          </w:tcPr>
          <w:p w14:paraId="347EC627" w14:textId="0EAA881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2,90%</w:t>
            </w:r>
          </w:p>
        </w:tc>
        <w:tc>
          <w:tcPr>
            <w:tcW w:w="1736" w:type="dxa"/>
            <w:noWrap/>
            <w:vAlign w:val="bottom"/>
          </w:tcPr>
          <w:p w14:paraId="7E849D3B" w14:textId="3F33075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-0,33%</w:t>
            </w:r>
          </w:p>
        </w:tc>
        <w:tc>
          <w:tcPr>
            <w:tcW w:w="1737" w:type="dxa"/>
            <w:noWrap/>
            <w:vAlign w:val="bottom"/>
          </w:tcPr>
          <w:p w14:paraId="4090E32F" w14:textId="23AD3E3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40BF" w:rsidRPr="00AF18EC" w14:paraId="2C615969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B673401" w14:textId="4837B05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71430791" w14:textId="1B760CC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1,89%</w:t>
            </w:r>
          </w:p>
        </w:tc>
        <w:tc>
          <w:tcPr>
            <w:tcW w:w="1737" w:type="dxa"/>
            <w:noWrap/>
            <w:vAlign w:val="bottom"/>
          </w:tcPr>
          <w:p w14:paraId="33863399" w14:textId="1AD5B13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2,63%</w:t>
            </w:r>
          </w:p>
        </w:tc>
        <w:tc>
          <w:tcPr>
            <w:tcW w:w="1736" w:type="dxa"/>
            <w:noWrap/>
            <w:vAlign w:val="bottom"/>
          </w:tcPr>
          <w:p w14:paraId="3E763A0A" w14:textId="12FD8E2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-0,74%</w:t>
            </w:r>
          </w:p>
        </w:tc>
        <w:tc>
          <w:tcPr>
            <w:tcW w:w="1737" w:type="dxa"/>
            <w:noWrap/>
            <w:vAlign w:val="bottom"/>
          </w:tcPr>
          <w:p w14:paraId="589D7A15" w14:textId="24429CC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40BF" w:rsidRPr="00AF18EC" w14:paraId="7D750D5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AFEC8F" w14:textId="2A860DE9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5112F481" w14:textId="73D0684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1,85%</w:t>
            </w:r>
          </w:p>
        </w:tc>
        <w:tc>
          <w:tcPr>
            <w:tcW w:w="1737" w:type="dxa"/>
            <w:noWrap/>
            <w:vAlign w:val="bottom"/>
          </w:tcPr>
          <w:p w14:paraId="5F3AC870" w14:textId="1D3D545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2,02%</w:t>
            </w:r>
          </w:p>
        </w:tc>
        <w:tc>
          <w:tcPr>
            <w:tcW w:w="1736" w:type="dxa"/>
            <w:noWrap/>
            <w:vAlign w:val="bottom"/>
          </w:tcPr>
          <w:p w14:paraId="6D2846C7" w14:textId="54D8904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-0,17%</w:t>
            </w:r>
          </w:p>
        </w:tc>
        <w:tc>
          <w:tcPr>
            <w:tcW w:w="1737" w:type="dxa"/>
            <w:noWrap/>
            <w:vAlign w:val="bottom"/>
          </w:tcPr>
          <w:p w14:paraId="3D30352E" w14:textId="1322C58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40BF" w:rsidRPr="00AF18EC" w14:paraId="204F582D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E8D7E1A" w14:textId="37FFF966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652B679C" w14:textId="720F8A7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1,62%</w:t>
            </w:r>
          </w:p>
        </w:tc>
        <w:tc>
          <w:tcPr>
            <w:tcW w:w="1737" w:type="dxa"/>
            <w:noWrap/>
            <w:vAlign w:val="bottom"/>
          </w:tcPr>
          <w:p w14:paraId="4D32C667" w14:textId="5940750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1,95%</w:t>
            </w:r>
          </w:p>
        </w:tc>
        <w:tc>
          <w:tcPr>
            <w:tcW w:w="1736" w:type="dxa"/>
            <w:noWrap/>
            <w:vAlign w:val="bottom"/>
          </w:tcPr>
          <w:p w14:paraId="2FF24B7D" w14:textId="18D5D65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-0,33%</w:t>
            </w:r>
          </w:p>
        </w:tc>
        <w:tc>
          <w:tcPr>
            <w:tcW w:w="1737" w:type="dxa"/>
            <w:noWrap/>
            <w:vAlign w:val="bottom"/>
          </w:tcPr>
          <w:p w14:paraId="7D46CDBA" w14:textId="5E8BE6A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B40BF" w:rsidRPr="00AF18EC" w14:paraId="10983F2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EF676B7" w14:textId="381C467F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7034FF14" w14:textId="2FC947F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1,34%</w:t>
            </w:r>
          </w:p>
        </w:tc>
        <w:tc>
          <w:tcPr>
            <w:tcW w:w="1737" w:type="dxa"/>
            <w:noWrap/>
            <w:vAlign w:val="bottom"/>
          </w:tcPr>
          <w:p w14:paraId="3C2A8FBD" w14:textId="57DA695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1,04%</w:t>
            </w:r>
          </w:p>
        </w:tc>
        <w:tc>
          <w:tcPr>
            <w:tcW w:w="1736" w:type="dxa"/>
            <w:noWrap/>
            <w:vAlign w:val="bottom"/>
          </w:tcPr>
          <w:p w14:paraId="47D907AC" w14:textId="7107A7D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6C082C4C" w14:textId="4DBF95C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0BF" w:rsidRPr="00AF18EC" w14:paraId="48AC631F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BBB38B2" w14:textId="49E22B6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187ADEBB" w14:textId="04A7805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0,96%</w:t>
            </w:r>
          </w:p>
        </w:tc>
        <w:tc>
          <w:tcPr>
            <w:tcW w:w="1737" w:type="dxa"/>
            <w:noWrap/>
            <w:vAlign w:val="bottom"/>
          </w:tcPr>
          <w:p w14:paraId="3CBF6C26" w14:textId="28F3110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6" w:type="dxa"/>
            <w:noWrap/>
            <w:vAlign w:val="bottom"/>
          </w:tcPr>
          <w:p w14:paraId="16A4BAD5" w14:textId="0FE0EC5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48A04CBA" w14:textId="42D7CBA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40BF" w:rsidRPr="00AF18EC" w14:paraId="516F0BC4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8637727" w14:textId="6BAC9DC8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3ADED34F" w14:textId="582DF2D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0,77%</w:t>
            </w:r>
          </w:p>
        </w:tc>
        <w:tc>
          <w:tcPr>
            <w:tcW w:w="1737" w:type="dxa"/>
            <w:noWrap/>
            <w:vAlign w:val="bottom"/>
          </w:tcPr>
          <w:p w14:paraId="115D43C3" w14:textId="75CB408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0,56%</w:t>
            </w:r>
          </w:p>
        </w:tc>
        <w:tc>
          <w:tcPr>
            <w:tcW w:w="1736" w:type="dxa"/>
            <w:noWrap/>
            <w:vAlign w:val="bottom"/>
          </w:tcPr>
          <w:p w14:paraId="41FD3CF2" w14:textId="1177945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2B17F718" w14:textId="3382E66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B40BF" w:rsidRPr="00AF18EC" w14:paraId="3E6F258D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C2332F3" w14:textId="3FCD257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5D665876" w14:textId="3C22A38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7" w:type="dxa"/>
            <w:noWrap/>
            <w:vAlign w:val="bottom"/>
          </w:tcPr>
          <w:p w14:paraId="3A5C8BF2" w14:textId="17E8BB2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0,84%</w:t>
            </w:r>
          </w:p>
        </w:tc>
        <w:tc>
          <w:tcPr>
            <w:tcW w:w="1736" w:type="dxa"/>
            <w:noWrap/>
            <w:vAlign w:val="bottom"/>
          </w:tcPr>
          <w:p w14:paraId="0B719E08" w14:textId="56608EB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-0,08%</w:t>
            </w:r>
          </w:p>
        </w:tc>
        <w:tc>
          <w:tcPr>
            <w:tcW w:w="1737" w:type="dxa"/>
            <w:noWrap/>
            <w:vAlign w:val="bottom"/>
          </w:tcPr>
          <w:p w14:paraId="20C84797" w14:textId="51503AF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0BF" w:rsidRPr="00AF18EC" w14:paraId="7905745E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90066D1" w14:textId="0DF28420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F753C8A" w14:textId="2BC37F2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0,71%</w:t>
            </w:r>
          </w:p>
        </w:tc>
        <w:tc>
          <w:tcPr>
            <w:tcW w:w="1737" w:type="dxa"/>
            <w:noWrap/>
            <w:vAlign w:val="bottom"/>
          </w:tcPr>
          <w:p w14:paraId="3FA04117" w14:textId="05F2494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0,76%</w:t>
            </w:r>
          </w:p>
        </w:tc>
        <w:tc>
          <w:tcPr>
            <w:tcW w:w="1736" w:type="dxa"/>
            <w:noWrap/>
            <w:vAlign w:val="bottom"/>
          </w:tcPr>
          <w:p w14:paraId="01EDE9B9" w14:textId="3AF2B6A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1F2C13EF" w14:textId="0C573BC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B40BF" w:rsidRPr="00AF18EC" w14:paraId="0C3CD079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14E21FF" w14:textId="099C2F56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0D7B2A8D" w14:textId="47D0B00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0,21%</w:t>
            </w:r>
          </w:p>
        </w:tc>
        <w:tc>
          <w:tcPr>
            <w:tcW w:w="1737" w:type="dxa"/>
            <w:noWrap/>
            <w:vAlign w:val="bottom"/>
          </w:tcPr>
          <w:p w14:paraId="491C20D0" w14:textId="2BFD3EA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6" w:type="dxa"/>
            <w:noWrap/>
            <w:vAlign w:val="bottom"/>
          </w:tcPr>
          <w:p w14:paraId="5723B13D" w14:textId="2D59652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0,03%</w:t>
            </w:r>
          </w:p>
        </w:tc>
        <w:tc>
          <w:tcPr>
            <w:tcW w:w="1737" w:type="dxa"/>
            <w:noWrap/>
            <w:vAlign w:val="bottom"/>
          </w:tcPr>
          <w:p w14:paraId="0F535DA9" w14:textId="598A9D3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8B40BF" w:rsidRPr="00AF18EC" w14:paraId="522C6621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166EA7" w14:textId="35BE90EA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3B9FB517" w14:textId="6ACA287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0,15%</w:t>
            </w:r>
          </w:p>
        </w:tc>
        <w:tc>
          <w:tcPr>
            <w:tcW w:w="1737" w:type="dxa"/>
            <w:noWrap/>
            <w:vAlign w:val="bottom"/>
          </w:tcPr>
          <w:p w14:paraId="78F30493" w14:textId="6880283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0,50%</w:t>
            </w:r>
          </w:p>
        </w:tc>
        <w:tc>
          <w:tcPr>
            <w:tcW w:w="1736" w:type="dxa"/>
            <w:noWrap/>
            <w:vAlign w:val="bottom"/>
          </w:tcPr>
          <w:p w14:paraId="1E0377B6" w14:textId="17929F1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-0,35%</w:t>
            </w:r>
          </w:p>
        </w:tc>
        <w:tc>
          <w:tcPr>
            <w:tcW w:w="1737" w:type="dxa"/>
            <w:noWrap/>
            <w:vAlign w:val="bottom"/>
          </w:tcPr>
          <w:p w14:paraId="061441C9" w14:textId="6EEF080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40BF" w:rsidRPr="00AF18EC" w14:paraId="42E0B262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56DCFA" w14:textId="6313F558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7B682641" w14:textId="0FB8141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0,14%</w:t>
            </w:r>
          </w:p>
        </w:tc>
        <w:tc>
          <w:tcPr>
            <w:tcW w:w="1737" w:type="dxa"/>
            <w:noWrap/>
            <w:vAlign w:val="bottom"/>
          </w:tcPr>
          <w:p w14:paraId="659077BC" w14:textId="23E7E8D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6" w:type="dxa"/>
            <w:noWrap/>
            <w:vAlign w:val="bottom"/>
          </w:tcPr>
          <w:p w14:paraId="724E4554" w14:textId="12DC26D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3FC6A625" w14:textId="22CB02CA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B40BF" w:rsidRPr="00AF18EC" w14:paraId="04DE086D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1282461" w14:textId="6136BC73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3C0881B8" w14:textId="0BE8630B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0,10%</w:t>
            </w:r>
          </w:p>
        </w:tc>
        <w:tc>
          <w:tcPr>
            <w:tcW w:w="1737" w:type="dxa"/>
            <w:noWrap/>
            <w:vAlign w:val="bottom"/>
          </w:tcPr>
          <w:p w14:paraId="2D653993" w14:textId="6D2C599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0,01%</w:t>
            </w:r>
          </w:p>
        </w:tc>
        <w:tc>
          <w:tcPr>
            <w:tcW w:w="1736" w:type="dxa"/>
            <w:noWrap/>
            <w:vAlign w:val="bottom"/>
          </w:tcPr>
          <w:p w14:paraId="1F5E8C0E" w14:textId="5976B3D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0,09%</w:t>
            </w:r>
          </w:p>
        </w:tc>
        <w:tc>
          <w:tcPr>
            <w:tcW w:w="1737" w:type="dxa"/>
            <w:noWrap/>
            <w:vAlign w:val="bottom"/>
          </w:tcPr>
          <w:p w14:paraId="092FABCA" w14:textId="39DE878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B40BF" w:rsidRPr="00AF18EC" w14:paraId="200C50B2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F5FF3C" w14:textId="29028EB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7C4D7F21" w14:textId="6229538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7" w:type="dxa"/>
            <w:noWrap/>
            <w:vAlign w:val="bottom"/>
          </w:tcPr>
          <w:p w14:paraId="44130921" w14:textId="6675339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0,20%</w:t>
            </w:r>
          </w:p>
        </w:tc>
        <w:tc>
          <w:tcPr>
            <w:tcW w:w="1736" w:type="dxa"/>
            <w:noWrap/>
            <w:vAlign w:val="bottom"/>
          </w:tcPr>
          <w:p w14:paraId="2951FF72" w14:textId="3949C6E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-0,14%</w:t>
            </w:r>
          </w:p>
        </w:tc>
        <w:tc>
          <w:tcPr>
            <w:tcW w:w="1737" w:type="dxa"/>
            <w:noWrap/>
            <w:vAlign w:val="bottom"/>
          </w:tcPr>
          <w:p w14:paraId="49C184B1" w14:textId="5E6086F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40BF" w:rsidRPr="00AF18EC" w14:paraId="1A5DF8A9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38080B4" w14:textId="3825FBDC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Finnat Euramerica</w:t>
            </w:r>
          </w:p>
        </w:tc>
        <w:tc>
          <w:tcPr>
            <w:tcW w:w="1736" w:type="dxa"/>
            <w:noWrap/>
            <w:vAlign w:val="bottom"/>
          </w:tcPr>
          <w:p w14:paraId="43D62A2B" w14:textId="243BE9C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0A1C96FB" w14:textId="2983923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05D8C91E" w14:textId="378D208C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68A844A2" w14:textId="3C26692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40BF" w:rsidRPr="00AF18EC" w14:paraId="4EACC78A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2191DE6" w14:textId="289D1C9E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389CC45E" w14:textId="2E5FA14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71260C62" w14:textId="25BA1BD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6" w:type="dxa"/>
            <w:noWrap/>
            <w:vAlign w:val="bottom"/>
          </w:tcPr>
          <w:p w14:paraId="5BB5FB51" w14:textId="6FCC0B0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-0,05%</w:t>
            </w:r>
          </w:p>
        </w:tc>
        <w:tc>
          <w:tcPr>
            <w:tcW w:w="1737" w:type="dxa"/>
            <w:noWrap/>
            <w:vAlign w:val="bottom"/>
          </w:tcPr>
          <w:p w14:paraId="6F774C08" w14:textId="01CF332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40BF" w:rsidRPr="00AF18EC" w14:paraId="2E22B832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56FE40E" w14:textId="0B2F5C12" w:rsidR="008B40BF" w:rsidRPr="003F2949" w:rsidRDefault="008B40BF" w:rsidP="008B40B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408CCEA5" w14:textId="67670B1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4E05672" w14:textId="1D447C7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5D6150B1" w14:textId="7D63373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9618B1C" w14:textId="3FE633E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1479" w:rsidRPr="00AF18EC" w14:paraId="55612E90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50115EF" w14:textId="349C7F76" w:rsidR="00FD1479" w:rsidRPr="003F2949" w:rsidRDefault="00FD1479" w:rsidP="00FD147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15B3150B" w14:textId="25792C12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23B08B6" w14:textId="03DF3822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DC9ED0E" w14:textId="5EA53B42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698221B" w14:textId="43924D1D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1479" w:rsidRPr="00AF18EC" w14:paraId="40CBFC3E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443277" w14:textId="77777777" w:rsidR="00FD1479" w:rsidRPr="00CE1888" w:rsidRDefault="00FD1479" w:rsidP="00FD147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2F50C524" w14:textId="604E07AF" w:rsidR="00FD1479" w:rsidRPr="00CE1888" w:rsidRDefault="00FD1479" w:rsidP="00FD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8A7BB9D" w14:textId="3733FBC2" w:rsidR="00FD1479" w:rsidRPr="00CE1888" w:rsidRDefault="00FD1479" w:rsidP="00FD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5D53F17" w14:textId="77777777" w:rsidR="00FD1479" w:rsidRPr="00CE1888" w:rsidRDefault="00FD1479" w:rsidP="00FD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0E23304" w14:textId="77777777" w:rsidR="00FD1479" w:rsidRPr="00CE1888" w:rsidRDefault="00FD1479" w:rsidP="00FD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0B7A3DC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C989D8E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E131EB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B44DC6A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BC89265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8A4F5E6" w14:textId="77777777" w:rsidR="003F2949" w:rsidRPr="00CE1888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477E5A0A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BA141ED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6B0F3F" w14:textId="7FAF90EB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A3497F6" w14:textId="45343A5B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EB69B6D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755D06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E48D8E4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551079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09C795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DE8619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6F3B26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E109C4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A746258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BB56F08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71555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8E3660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6CE3E0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12EC62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32529B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DED88D5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CA73C6E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6C614E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81D1D6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FFD4AA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0BD02C02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3BEAE99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53CD7E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A32CAB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997077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205991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6BD7900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C34F1DD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62F7A6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677E0C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FF78CA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6DB083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40BF" w:rsidRPr="00AF18EC" w14:paraId="09FD383D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7BE5402" w14:textId="77777777" w:rsidR="008B40BF" w:rsidRPr="00CE1888" w:rsidRDefault="008B40BF" w:rsidP="008B40B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BA9B25B" w14:textId="2BAD7171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45,13%</w:t>
            </w:r>
          </w:p>
        </w:tc>
        <w:tc>
          <w:tcPr>
            <w:tcW w:w="1737" w:type="dxa"/>
            <w:noWrap/>
            <w:vAlign w:val="bottom"/>
          </w:tcPr>
          <w:p w14:paraId="682C40E5" w14:textId="37E5C22F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46,29%</w:t>
            </w:r>
          </w:p>
        </w:tc>
        <w:tc>
          <w:tcPr>
            <w:tcW w:w="1736" w:type="dxa"/>
            <w:noWrap/>
            <w:vAlign w:val="center"/>
          </w:tcPr>
          <w:p w14:paraId="04C28A81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6482D43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26327EB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FF3F35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B28B01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2F93CE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EA220C4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CCFD78C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C8CE641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46A47F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C58C93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52B489F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88DE436" w14:textId="77777777" w:rsidR="00654DC4" w:rsidRDefault="00654DC4" w:rsidP="00654DC4">
      <w:pPr>
        <w:pStyle w:val="Paragrafoelenco"/>
        <w:numPr>
          <w:ilvl w:val="0"/>
          <w:numId w:val="3"/>
        </w:numPr>
        <w:tabs>
          <w:tab w:val="left" w:pos="2340"/>
        </w:tabs>
        <w:spacing w:after="0"/>
        <w:rPr>
          <w:color w:val="4F81BD" w:themeColor="accent1"/>
        </w:rPr>
      </w:pPr>
      <w:r w:rsidRPr="0025586E">
        <w:rPr>
          <w:color w:val="4F81BD" w:themeColor="accent1"/>
        </w:rPr>
        <w:lastRenderedPageBreak/>
        <w:t xml:space="preserve">BORSA ITALIANA: </w:t>
      </w:r>
      <w:r>
        <w:rPr>
          <w:color w:val="4F81BD" w:themeColor="accent1"/>
        </w:rPr>
        <w:t>FUTURES SU AZIONI</w:t>
      </w:r>
      <w:r w:rsidR="00BE3EDD">
        <w:rPr>
          <w:color w:val="4F81BD" w:themeColor="accent1"/>
        </w:rPr>
        <w:t xml:space="preserve"> </w:t>
      </w:r>
      <w:r w:rsidR="00BB40C2">
        <w:rPr>
          <w:color w:val="4F81BD" w:themeColor="accent1"/>
        </w:rPr>
        <w:t>-</w:t>
      </w:r>
      <w:r>
        <w:rPr>
          <w:color w:val="4F81BD" w:themeColor="accent1"/>
        </w:rPr>
        <w:t xml:space="preserve"> OPERAZIONI TOTALI ESEGUITE</w:t>
      </w:r>
    </w:p>
    <w:p w14:paraId="0678CD67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F18EC" w14:paraId="32C514EE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636C9D77" w14:textId="77777777" w:rsidR="00A635A4" w:rsidRPr="00CE1888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58E1CF25" w14:textId="3622C29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69D4B460" w14:textId="320D5CAC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018C355" w14:textId="7DBE46B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3E515139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366DF10B" w14:textId="50A5CAB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F18EC" w14:paraId="5B6E39D3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DC0B172" w14:textId="364665F1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74644B16" w14:textId="45C1A9F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13,01%</w:t>
            </w:r>
          </w:p>
        </w:tc>
        <w:tc>
          <w:tcPr>
            <w:tcW w:w="1737" w:type="dxa"/>
            <w:noWrap/>
            <w:vAlign w:val="bottom"/>
          </w:tcPr>
          <w:p w14:paraId="46A181AE" w14:textId="31A2334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17,41%</w:t>
            </w:r>
          </w:p>
        </w:tc>
        <w:tc>
          <w:tcPr>
            <w:tcW w:w="1736" w:type="dxa"/>
            <w:noWrap/>
            <w:vAlign w:val="bottom"/>
          </w:tcPr>
          <w:p w14:paraId="3CF8BF43" w14:textId="3696471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-4,40%</w:t>
            </w:r>
          </w:p>
        </w:tc>
        <w:tc>
          <w:tcPr>
            <w:tcW w:w="1737" w:type="dxa"/>
            <w:noWrap/>
            <w:vAlign w:val="bottom"/>
          </w:tcPr>
          <w:p w14:paraId="2DCE3905" w14:textId="3E3239D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40BF" w:rsidRPr="00AF18EC" w14:paraId="4E436B9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EAD38A8" w14:textId="27E0AF17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4663592D" w14:textId="71A9C69E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10,72%</w:t>
            </w:r>
          </w:p>
        </w:tc>
        <w:tc>
          <w:tcPr>
            <w:tcW w:w="1737" w:type="dxa"/>
            <w:noWrap/>
            <w:vAlign w:val="bottom"/>
          </w:tcPr>
          <w:p w14:paraId="6C60EC83" w14:textId="19357D4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8,19%</w:t>
            </w:r>
          </w:p>
        </w:tc>
        <w:tc>
          <w:tcPr>
            <w:tcW w:w="1736" w:type="dxa"/>
            <w:noWrap/>
            <w:vAlign w:val="bottom"/>
          </w:tcPr>
          <w:p w14:paraId="5D5E3D46" w14:textId="3413092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2,53%</w:t>
            </w:r>
          </w:p>
        </w:tc>
        <w:tc>
          <w:tcPr>
            <w:tcW w:w="1737" w:type="dxa"/>
            <w:noWrap/>
            <w:vAlign w:val="bottom"/>
          </w:tcPr>
          <w:p w14:paraId="03617EA0" w14:textId="5952A4CF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40BF" w:rsidRPr="00AF18EC" w14:paraId="73AC21C1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B831A75" w14:textId="5289874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3F9AC07D" w14:textId="0117356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6,34%</w:t>
            </w:r>
          </w:p>
        </w:tc>
        <w:tc>
          <w:tcPr>
            <w:tcW w:w="1737" w:type="dxa"/>
            <w:noWrap/>
            <w:vAlign w:val="bottom"/>
          </w:tcPr>
          <w:p w14:paraId="2ED747EA" w14:textId="7267F034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0,94%</w:t>
            </w:r>
          </w:p>
        </w:tc>
        <w:tc>
          <w:tcPr>
            <w:tcW w:w="1736" w:type="dxa"/>
            <w:noWrap/>
            <w:vAlign w:val="bottom"/>
          </w:tcPr>
          <w:p w14:paraId="13EEA0F2" w14:textId="1876E18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5,40%</w:t>
            </w:r>
          </w:p>
        </w:tc>
        <w:tc>
          <w:tcPr>
            <w:tcW w:w="1737" w:type="dxa"/>
            <w:noWrap/>
            <w:vAlign w:val="bottom"/>
          </w:tcPr>
          <w:p w14:paraId="44A11B96" w14:textId="23B7710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40BF" w:rsidRPr="00AF18EC" w14:paraId="596D9FAC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97E845" w14:textId="4F780A16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37B65BFC" w14:textId="4B27C11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4,60%</w:t>
            </w:r>
          </w:p>
        </w:tc>
        <w:tc>
          <w:tcPr>
            <w:tcW w:w="1737" w:type="dxa"/>
            <w:noWrap/>
            <w:vAlign w:val="bottom"/>
          </w:tcPr>
          <w:p w14:paraId="69F39FDF" w14:textId="4F2753B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3,16%</w:t>
            </w:r>
          </w:p>
        </w:tc>
        <w:tc>
          <w:tcPr>
            <w:tcW w:w="1736" w:type="dxa"/>
            <w:noWrap/>
            <w:vAlign w:val="bottom"/>
          </w:tcPr>
          <w:p w14:paraId="4249193C" w14:textId="32C279F4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1,44%</w:t>
            </w:r>
          </w:p>
        </w:tc>
        <w:tc>
          <w:tcPr>
            <w:tcW w:w="1737" w:type="dxa"/>
            <w:noWrap/>
            <w:vAlign w:val="bottom"/>
          </w:tcPr>
          <w:p w14:paraId="0959E9DE" w14:textId="69CD588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40BF" w:rsidRPr="00AF18EC" w14:paraId="4E1FB967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D9361E6" w14:textId="05C96F63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A1F9B47" w14:textId="1BC2DB9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4,15%</w:t>
            </w:r>
          </w:p>
        </w:tc>
        <w:tc>
          <w:tcPr>
            <w:tcW w:w="1737" w:type="dxa"/>
            <w:noWrap/>
            <w:vAlign w:val="bottom"/>
          </w:tcPr>
          <w:p w14:paraId="2994F41F" w14:textId="1D700E26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4,42%</w:t>
            </w:r>
          </w:p>
        </w:tc>
        <w:tc>
          <w:tcPr>
            <w:tcW w:w="1736" w:type="dxa"/>
            <w:noWrap/>
            <w:vAlign w:val="bottom"/>
          </w:tcPr>
          <w:p w14:paraId="52661085" w14:textId="6EDB81C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-0,26%</w:t>
            </w:r>
          </w:p>
        </w:tc>
        <w:tc>
          <w:tcPr>
            <w:tcW w:w="1737" w:type="dxa"/>
            <w:noWrap/>
            <w:vAlign w:val="bottom"/>
          </w:tcPr>
          <w:p w14:paraId="30948E31" w14:textId="760F5F9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40BF" w:rsidRPr="00AF18EC" w14:paraId="0A7FDDA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21888D3" w14:textId="46D27CF8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7245C969" w14:textId="1411059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4,08%</w:t>
            </w:r>
          </w:p>
        </w:tc>
        <w:tc>
          <w:tcPr>
            <w:tcW w:w="1737" w:type="dxa"/>
            <w:noWrap/>
            <w:vAlign w:val="bottom"/>
          </w:tcPr>
          <w:p w14:paraId="7A4CBB46" w14:textId="6C106757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4,85%</w:t>
            </w:r>
          </w:p>
        </w:tc>
        <w:tc>
          <w:tcPr>
            <w:tcW w:w="1736" w:type="dxa"/>
            <w:noWrap/>
            <w:vAlign w:val="bottom"/>
          </w:tcPr>
          <w:p w14:paraId="6CB96FA0" w14:textId="4C596D9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-0,77%</w:t>
            </w:r>
          </w:p>
        </w:tc>
        <w:tc>
          <w:tcPr>
            <w:tcW w:w="1737" w:type="dxa"/>
            <w:noWrap/>
            <w:vAlign w:val="bottom"/>
          </w:tcPr>
          <w:p w14:paraId="20FC4F6D" w14:textId="1DCF075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0BF" w:rsidRPr="00AF18EC" w14:paraId="394B324B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666BCA2" w14:textId="2A5A40C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0E5F8DD0" w14:textId="6373921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2,68%</w:t>
            </w:r>
          </w:p>
        </w:tc>
        <w:tc>
          <w:tcPr>
            <w:tcW w:w="1737" w:type="dxa"/>
            <w:noWrap/>
            <w:vAlign w:val="bottom"/>
          </w:tcPr>
          <w:p w14:paraId="02D01AD1" w14:textId="63B7817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1,70%</w:t>
            </w:r>
          </w:p>
        </w:tc>
        <w:tc>
          <w:tcPr>
            <w:tcW w:w="1736" w:type="dxa"/>
            <w:noWrap/>
            <w:vAlign w:val="bottom"/>
          </w:tcPr>
          <w:p w14:paraId="04A16486" w14:textId="11EEDCFF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0,97%</w:t>
            </w:r>
          </w:p>
        </w:tc>
        <w:tc>
          <w:tcPr>
            <w:tcW w:w="1737" w:type="dxa"/>
            <w:noWrap/>
            <w:vAlign w:val="bottom"/>
          </w:tcPr>
          <w:p w14:paraId="3E9A1CAF" w14:textId="13A0D48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0BF" w:rsidRPr="00AF18EC" w14:paraId="640C0D7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4D531CD" w14:textId="1C068AE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51E4550C" w14:textId="420C62F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2,53%</w:t>
            </w:r>
          </w:p>
        </w:tc>
        <w:tc>
          <w:tcPr>
            <w:tcW w:w="1737" w:type="dxa"/>
            <w:noWrap/>
            <w:vAlign w:val="bottom"/>
          </w:tcPr>
          <w:p w14:paraId="3F9F8374" w14:textId="703C7DE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3,77%</w:t>
            </w:r>
          </w:p>
        </w:tc>
        <w:tc>
          <w:tcPr>
            <w:tcW w:w="1736" w:type="dxa"/>
            <w:noWrap/>
            <w:vAlign w:val="bottom"/>
          </w:tcPr>
          <w:p w14:paraId="6582C7AA" w14:textId="5BB71CA0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-1,24%</w:t>
            </w:r>
          </w:p>
        </w:tc>
        <w:tc>
          <w:tcPr>
            <w:tcW w:w="1737" w:type="dxa"/>
            <w:noWrap/>
            <w:vAlign w:val="bottom"/>
          </w:tcPr>
          <w:p w14:paraId="6532AC62" w14:textId="1AD1FCF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40BF" w:rsidRPr="00AF18EC" w14:paraId="06CCB0D0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D6D23E3" w14:textId="04E27D94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1F0681E6" w14:textId="7FF8552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2,28%</w:t>
            </w:r>
          </w:p>
        </w:tc>
        <w:tc>
          <w:tcPr>
            <w:tcW w:w="1737" w:type="dxa"/>
            <w:noWrap/>
            <w:vAlign w:val="bottom"/>
          </w:tcPr>
          <w:p w14:paraId="57B22481" w14:textId="74E8AB50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3,43%</w:t>
            </w:r>
          </w:p>
        </w:tc>
        <w:tc>
          <w:tcPr>
            <w:tcW w:w="1736" w:type="dxa"/>
            <w:noWrap/>
            <w:vAlign w:val="bottom"/>
          </w:tcPr>
          <w:p w14:paraId="682F3B6F" w14:textId="1D010198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-1,15%</w:t>
            </w:r>
          </w:p>
        </w:tc>
        <w:tc>
          <w:tcPr>
            <w:tcW w:w="1737" w:type="dxa"/>
            <w:noWrap/>
            <w:vAlign w:val="bottom"/>
          </w:tcPr>
          <w:p w14:paraId="7707F19B" w14:textId="4AA6DC7D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40BF" w:rsidRPr="00AF18EC" w14:paraId="1C0525A5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5A7C572" w14:textId="7E65910E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404E94DC" w14:textId="197ACAA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0,86%</w:t>
            </w:r>
          </w:p>
        </w:tc>
        <w:tc>
          <w:tcPr>
            <w:tcW w:w="1737" w:type="dxa"/>
            <w:noWrap/>
            <w:vAlign w:val="bottom"/>
          </w:tcPr>
          <w:p w14:paraId="21B18BDF" w14:textId="16BC8F2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7,13%</w:t>
            </w:r>
          </w:p>
        </w:tc>
        <w:tc>
          <w:tcPr>
            <w:tcW w:w="1736" w:type="dxa"/>
            <w:noWrap/>
            <w:vAlign w:val="bottom"/>
          </w:tcPr>
          <w:p w14:paraId="334FBC95" w14:textId="5ACBBC8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-6,27%</w:t>
            </w:r>
          </w:p>
        </w:tc>
        <w:tc>
          <w:tcPr>
            <w:tcW w:w="1737" w:type="dxa"/>
            <w:noWrap/>
            <w:vAlign w:val="bottom"/>
          </w:tcPr>
          <w:p w14:paraId="1502806A" w14:textId="550B80B2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40BF" w:rsidRPr="00AF18EC" w14:paraId="305517E6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C81FB31" w14:textId="355512B8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718E4EE1" w14:textId="1BBBDF75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0,39%</w:t>
            </w:r>
          </w:p>
        </w:tc>
        <w:tc>
          <w:tcPr>
            <w:tcW w:w="1737" w:type="dxa"/>
            <w:noWrap/>
            <w:vAlign w:val="bottom"/>
          </w:tcPr>
          <w:p w14:paraId="7B7503E6" w14:textId="1178515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2,00%</w:t>
            </w:r>
          </w:p>
        </w:tc>
        <w:tc>
          <w:tcPr>
            <w:tcW w:w="1736" w:type="dxa"/>
            <w:noWrap/>
            <w:vAlign w:val="bottom"/>
          </w:tcPr>
          <w:p w14:paraId="532379A0" w14:textId="4FD5352C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-1,60%</w:t>
            </w:r>
          </w:p>
        </w:tc>
        <w:tc>
          <w:tcPr>
            <w:tcW w:w="1737" w:type="dxa"/>
            <w:noWrap/>
            <w:vAlign w:val="bottom"/>
          </w:tcPr>
          <w:p w14:paraId="12FDDEB2" w14:textId="4165A62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0BF" w:rsidRPr="00AF18EC" w14:paraId="3A4E4743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B82A619" w14:textId="73A4502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Invest Banca</w:t>
            </w:r>
          </w:p>
        </w:tc>
        <w:tc>
          <w:tcPr>
            <w:tcW w:w="1736" w:type="dxa"/>
            <w:noWrap/>
            <w:vAlign w:val="bottom"/>
          </w:tcPr>
          <w:p w14:paraId="6E2AFB39" w14:textId="01A4D406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01F4BA5D" w14:textId="2B669F75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2,22%</w:t>
            </w:r>
          </w:p>
        </w:tc>
        <w:tc>
          <w:tcPr>
            <w:tcW w:w="1736" w:type="dxa"/>
            <w:noWrap/>
            <w:vAlign w:val="bottom"/>
          </w:tcPr>
          <w:p w14:paraId="249E309E" w14:textId="1B00049A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-1,92%</w:t>
            </w:r>
          </w:p>
        </w:tc>
        <w:tc>
          <w:tcPr>
            <w:tcW w:w="1737" w:type="dxa"/>
            <w:noWrap/>
            <w:vAlign w:val="bottom"/>
          </w:tcPr>
          <w:p w14:paraId="63BBE508" w14:textId="6ABD56A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B40BF" w:rsidRPr="00AF18EC" w14:paraId="47289397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810A9A2" w14:textId="7CB250E5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Citigroup</w:t>
            </w:r>
          </w:p>
        </w:tc>
        <w:tc>
          <w:tcPr>
            <w:tcW w:w="1736" w:type="dxa"/>
            <w:noWrap/>
            <w:vAlign w:val="bottom"/>
          </w:tcPr>
          <w:p w14:paraId="624892F3" w14:textId="5FD64BE3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153A7216" w14:textId="3B2A367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7E37687E" w14:textId="5D78DF8E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0,19%</w:t>
            </w:r>
          </w:p>
        </w:tc>
        <w:tc>
          <w:tcPr>
            <w:tcW w:w="1737" w:type="dxa"/>
            <w:noWrap/>
            <w:vAlign w:val="bottom"/>
          </w:tcPr>
          <w:p w14:paraId="2EB093F3" w14:textId="01252062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B40BF" w:rsidRPr="00AF18EC" w14:paraId="0442BDE2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AB2D82D" w14:textId="08580242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Merrill Lynch</w:t>
            </w:r>
          </w:p>
        </w:tc>
        <w:tc>
          <w:tcPr>
            <w:tcW w:w="1736" w:type="dxa"/>
            <w:noWrap/>
            <w:vAlign w:val="bottom"/>
          </w:tcPr>
          <w:p w14:paraId="3A1C2BC3" w14:textId="335B495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65C7A397" w14:textId="501A3A4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36DBCA32" w14:textId="193AB4E9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7" w:type="dxa"/>
            <w:noWrap/>
            <w:vAlign w:val="bottom"/>
          </w:tcPr>
          <w:p w14:paraId="28E8C10C" w14:textId="7C3B1B38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8B40BF" w:rsidRPr="00AF18EC" w14:paraId="3FAF3D43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F7B3662" w14:textId="0290259D" w:rsidR="008B40BF" w:rsidRPr="003F2949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04E218AF" w14:textId="6EFFABA9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0,02%</w:t>
            </w:r>
          </w:p>
        </w:tc>
        <w:tc>
          <w:tcPr>
            <w:tcW w:w="1737" w:type="dxa"/>
            <w:noWrap/>
            <w:vAlign w:val="bottom"/>
          </w:tcPr>
          <w:p w14:paraId="70D9A532" w14:textId="61695201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0,11%</w:t>
            </w:r>
          </w:p>
        </w:tc>
        <w:tc>
          <w:tcPr>
            <w:tcW w:w="1736" w:type="dxa"/>
            <w:noWrap/>
            <w:vAlign w:val="bottom"/>
          </w:tcPr>
          <w:p w14:paraId="68A37522" w14:textId="207BD897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-0,09%</w:t>
            </w:r>
          </w:p>
        </w:tc>
        <w:tc>
          <w:tcPr>
            <w:tcW w:w="1737" w:type="dxa"/>
            <w:noWrap/>
            <w:vAlign w:val="bottom"/>
          </w:tcPr>
          <w:p w14:paraId="61D190DC" w14:textId="4A30E5BB" w:rsidR="008B40BF" w:rsidRPr="003F2949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B40BF" w:rsidRPr="00AF18EC" w14:paraId="106A3D0D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0CDF80D" w14:textId="6A6E7321" w:rsidR="008B40BF" w:rsidRPr="003F2949" w:rsidRDefault="008B40BF" w:rsidP="008B40B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38B1D3DA" w14:textId="607D594B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91936D4" w14:textId="08F956A3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7591451" w14:textId="16B32D6D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F6D5532" w14:textId="4EC27FF1" w:rsidR="008B40BF" w:rsidRPr="003F2949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1479" w:rsidRPr="00AF18EC" w14:paraId="50F5C577" w14:textId="77777777" w:rsidTr="00B8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6B4E60D" w14:textId="62E5486D" w:rsidR="00FD1479" w:rsidRPr="003F2949" w:rsidRDefault="00FD1479" w:rsidP="00FD147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74EA61C0" w14:textId="4E3C2E95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EB50B91" w14:textId="1E58C2F7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bottom"/>
          </w:tcPr>
          <w:p w14:paraId="6289AD97" w14:textId="45F91882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6D5539E" w14:textId="4C070FE1" w:rsidR="00FD1479" w:rsidRPr="003F2949" w:rsidRDefault="00FD1479" w:rsidP="00FD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64F3149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FA543BD" w14:textId="118AEB54" w:rsidR="003F2949" w:rsidRPr="003F2949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2249DE1" w14:textId="2D181FDB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1C969B9" w14:textId="2CE3754F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6E9C5C3" w14:textId="7142DB49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154955E" w14:textId="11186E0E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08B2488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C69855F" w14:textId="7900DA6B" w:rsidR="003F2949" w:rsidRPr="003F2949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2E8745" w14:textId="58A97BD7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F084247" w14:textId="76FCBB47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AE359F5" w14:textId="60BE1371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FF06BD" w14:textId="1972B608" w:rsidR="003F2949" w:rsidRPr="003F2949" w:rsidRDefault="003F2949" w:rsidP="0015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2949" w:rsidRPr="00AF18EC" w14:paraId="0FD1B9AE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A94D136" w14:textId="77777777" w:rsidR="003F2949" w:rsidRPr="00CE1888" w:rsidRDefault="003F2949" w:rsidP="0015341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A2AD59D" w14:textId="0F34BCE0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851CF6F" w14:textId="5481B620" w:rsidR="003F2949" w:rsidRPr="003F2949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58FC8A3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81103F6" w14:textId="77777777" w:rsidR="003F2949" w:rsidRPr="00CE1888" w:rsidRDefault="003F2949" w:rsidP="0015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56F03978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BCCFC5C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1FA3F7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860D32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9157B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DFACA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1F03870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8D99B84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F2FF883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E5D801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4081600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540CC7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40E8EBC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7B1E04E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DF6CBF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FFC262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74FF14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0E7B4C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755B5AB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D86795F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AEAF86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480E1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51424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E6860EE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5E20FEBB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CB3C03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6E1347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8A6FEE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8D511D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D6D88A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208F34BC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2D93A61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2A16B0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94234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F19D03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C5629D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42A156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0E6C2CD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FCBF64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EB410C1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CF3ABD6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13DD9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6D684294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D83AE9E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FCE9E97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4A6F3B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E0FD7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96972D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42E25395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3CF0DBE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94F141B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9C320B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DCB865E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3EE954C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1FA9DB15" w14:textId="77777777" w:rsidTr="00153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FAD6633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36A205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CF27E72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E9B31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987F409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4DC4" w:rsidRPr="00AF18EC" w14:paraId="3D50DBEE" w14:textId="77777777" w:rsidTr="0015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24677FD" w14:textId="77777777" w:rsidR="00654DC4" w:rsidRPr="00CE1888" w:rsidRDefault="00654DC4" w:rsidP="00153419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4760A0F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F6CE9E4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055C730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5C763EA" w14:textId="77777777" w:rsidR="00654DC4" w:rsidRPr="00CE1888" w:rsidRDefault="00654DC4" w:rsidP="00153419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40BF" w:rsidRPr="00AF18EC" w14:paraId="268F1A3D" w14:textId="77777777" w:rsidTr="00B86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211FDB8" w14:textId="77777777" w:rsidR="008B40BF" w:rsidRPr="00CE1888" w:rsidRDefault="008B40BF" w:rsidP="008B40B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E1888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673F67E3" w14:textId="3381C99B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52,38%</w:t>
            </w:r>
          </w:p>
        </w:tc>
        <w:tc>
          <w:tcPr>
            <w:tcW w:w="1737" w:type="dxa"/>
            <w:noWrap/>
            <w:vAlign w:val="bottom"/>
          </w:tcPr>
          <w:p w14:paraId="06816CD3" w14:textId="15200C6A" w:rsidR="008B40BF" w:rsidRPr="00CE1888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59,44%</w:t>
            </w:r>
          </w:p>
        </w:tc>
        <w:tc>
          <w:tcPr>
            <w:tcW w:w="1736" w:type="dxa"/>
            <w:noWrap/>
            <w:vAlign w:val="center"/>
          </w:tcPr>
          <w:p w14:paraId="2E3889B5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A07C14A" w14:textId="77777777" w:rsidR="008B40BF" w:rsidRPr="00CE1888" w:rsidRDefault="008B40BF" w:rsidP="008B40BF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AEE4E48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33DFBDF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BF45A1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830705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55341B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60D614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A599910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A51E47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2B6610D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9B615EE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973F5A6" w14:textId="77777777" w:rsidR="00626B76" w:rsidRPr="00626B76" w:rsidRDefault="00626B76" w:rsidP="00626B76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626B76">
        <w:rPr>
          <w:color w:val="4F81BD" w:themeColor="accent1"/>
        </w:rPr>
        <w:lastRenderedPageBreak/>
        <w:t>EUROTLX</w:t>
      </w:r>
      <w:r>
        <w:rPr>
          <w:color w:val="4F81BD" w:themeColor="accent1"/>
        </w:rPr>
        <w:t>:</w:t>
      </w:r>
      <w:r w:rsidRPr="00626B76">
        <w:rPr>
          <w:color w:val="4F81BD" w:themeColor="accent1"/>
        </w:rPr>
        <w:t xml:space="preserve"> OPERAZIONI ESEGUITE </w:t>
      </w:r>
      <w:r w:rsidR="006D3165" w:rsidRPr="00626B76">
        <w:rPr>
          <w:color w:val="4F81BD" w:themeColor="accent1"/>
        </w:rPr>
        <w:t>CONTO TERZI</w:t>
      </w:r>
    </w:p>
    <w:p w14:paraId="60A39EE5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61F35" w14:paraId="210BC8EA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00139CE0" w14:textId="77777777" w:rsidR="00A635A4" w:rsidRPr="008212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0B75DD26" w14:textId="61E85AC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43B1AEE2" w14:textId="3A68D53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128EDE74" w14:textId="61823DD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7929D833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1A288F3D" w14:textId="5558228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61F35" w14:paraId="04B66881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C2783DC" w14:textId="17F314FF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IMI</w:t>
            </w:r>
          </w:p>
        </w:tc>
        <w:tc>
          <w:tcPr>
            <w:tcW w:w="1736" w:type="dxa"/>
            <w:noWrap/>
            <w:vAlign w:val="bottom"/>
          </w:tcPr>
          <w:p w14:paraId="72FA7A5E" w14:textId="63794437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28,17%</w:t>
            </w:r>
          </w:p>
        </w:tc>
        <w:tc>
          <w:tcPr>
            <w:tcW w:w="1737" w:type="dxa"/>
            <w:noWrap/>
            <w:vAlign w:val="bottom"/>
          </w:tcPr>
          <w:p w14:paraId="0E355420" w14:textId="3E3ADA0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26,68%</w:t>
            </w:r>
          </w:p>
        </w:tc>
        <w:tc>
          <w:tcPr>
            <w:tcW w:w="1736" w:type="dxa"/>
            <w:noWrap/>
            <w:vAlign w:val="bottom"/>
          </w:tcPr>
          <w:p w14:paraId="2EE8F95D" w14:textId="72CC3063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1,49%</w:t>
            </w:r>
          </w:p>
        </w:tc>
        <w:tc>
          <w:tcPr>
            <w:tcW w:w="1737" w:type="dxa"/>
            <w:noWrap/>
            <w:vAlign w:val="bottom"/>
          </w:tcPr>
          <w:p w14:paraId="3AB31EEE" w14:textId="1E6935FC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40BF" w:rsidRPr="00A61F35" w14:paraId="6410F60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4D3E0BF" w14:textId="4548CD4D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Unicredit Bank AG</w:t>
            </w:r>
          </w:p>
        </w:tc>
        <w:tc>
          <w:tcPr>
            <w:tcW w:w="1736" w:type="dxa"/>
            <w:noWrap/>
            <w:vAlign w:val="bottom"/>
          </w:tcPr>
          <w:p w14:paraId="2F61EEF5" w14:textId="14F8EB20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18,07%</w:t>
            </w:r>
          </w:p>
        </w:tc>
        <w:tc>
          <w:tcPr>
            <w:tcW w:w="1737" w:type="dxa"/>
            <w:noWrap/>
            <w:vAlign w:val="bottom"/>
          </w:tcPr>
          <w:p w14:paraId="5B18F23C" w14:textId="2C60F08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20,46%</w:t>
            </w:r>
          </w:p>
        </w:tc>
        <w:tc>
          <w:tcPr>
            <w:tcW w:w="1736" w:type="dxa"/>
            <w:noWrap/>
            <w:vAlign w:val="bottom"/>
          </w:tcPr>
          <w:p w14:paraId="6711E1B4" w14:textId="1DF87D4E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-2,39%</w:t>
            </w:r>
          </w:p>
        </w:tc>
        <w:tc>
          <w:tcPr>
            <w:tcW w:w="1737" w:type="dxa"/>
            <w:noWrap/>
            <w:vAlign w:val="bottom"/>
          </w:tcPr>
          <w:p w14:paraId="340CA489" w14:textId="60EBE264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40BF" w:rsidRPr="00A61F35" w14:paraId="08DE95B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9BC7291" w14:textId="5458F3FD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Akros</w:t>
            </w:r>
          </w:p>
        </w:tc>
        <w:tc>
          <w:tcPr>
            <w:tcW w:w="1736" w:type="dxa"/>
            <w:noWrap/>
            <w:vAlign w:val="bottom"/>
          </w:tcPr>
          <w:p w14:paraId="4D840BB4" w14:textId="73950CB2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17,94%</w:t>
            </w:r>
          </w:p>
        </w:tc>
        <w:tc>
          <w:tcPr>
            <w:tcW w:w="1737" w:type="dxa"/>
            <w:noWrap/>
            <w:vAlign w:val="bottom"/>
          </w:tcPr>
          <w:p w14:paraId="5DC1C8F0" w14:textId="3814F60F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11,54%</w:t>
            </w:r>
          </w:p>
        </w:tc>
        <w:tc>
          <w:tcPr>
            <w:tcW w:w="1736" w:type="dxa"/>
            <w:noWrap/>
            <w:vAlign w:val="bottom"/>
          </w:tcPr>
          <w:p w14:paraId="6E468324" w14:textId="17307EC9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6,40%</w:t>
            </w:r>
          </w:p>
        </w:tc>
        <w:tc>
          <w:tcPr>
            <w:tcW w:w="1737" w:type="dxa"/>
            <w:noWrap/>
            <w:vAlign w:val="bottom"/>
          </w:tcPr>
          <w:p w14:paraId="2221E1C2" w14:textId="3A7C969F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40BF" w:rsidRPr="00A61F35" w14:paraId="7EFE988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E213BFB" w14:textId="58AB350A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Finecobank</w:t>
            </w:r>
          </w:p>
        </w:tc>
        <w:tc>
          <w:tcPr>
            <w:tcW w:w="1736" w:type="dxa"/>
            <w:noWrap/>
            <w:vAlign w:val="bottom"/>
          </w:tcPr>
          <w:p w14:paraId="3C06EB1E" w14:textId="3B1EB453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7,61%</w:t>
            </w:r>
          </w:p>
        </w:tc>
        <w:tc>
          <w:tcPr>
            <w:tcW w:w="1737" w:type="dxa"/>
            <w:noWrap/>
            <w:vAlign w:val="bottom"/>
          </w:tcPr>
          <w:p w14:paraId="7076BD0E" w14:textId="23F89903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7,88%</w:t>
            </w:r>
          </w:p>
        </w:tc>
        <w:tc>
          <w:tcPr>
            <w:tcW w:w="1736" w:type="dxa"/>
            <w:noWrap/>
            <w:vAlign w:val="bottom"/>
          </w:tcPr>
          <w:p w14:paraId="163FB627" w14:textId="1312DF2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-0,26%</w:t>
            </w:r>
          </w:p>
        </w:tc>
        <w:tc>
          <w:tcPr>
            <w:tcW w:w="1737" w:type="dxa"/>
            <w:noWrap/>
            <w:vAlign w:val="bottom"/>
          </w:tcPr>
          <w:p w14:paraId="253BB795" w14:textId="5607DDE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0BF" w:rsidRPr="00A61F35" w14:paraId="20B37E0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82F8017" w14:textId="06D958CA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IwBank</w:t>
            </w:r>
          </w:p>
        </w:tc>
        <w:tc>
          <w:tcPr>
            <w:tcW w:w="1736" w:type="dxa"/>
            <w:noWrap/>
            <w:vAlign w:val="bottom"/>
          </w:tcPr>
          <w:p w14:paraId="2151B99D" w14:textId="5B2FFDBF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6,33%</w:t>
            </w:r>
          </w:p>
        </w:tc>
        <w:tc>
          <w:tcPr>
            <w:tcW w:w="1737" w:type="dxa"/>
            <w:noWrap/>
            <w:vAlign w:val="bottom"/>
          </w:tcPr>
          <w:p w14:paraId="574A8BE8" w14:textId="5B266359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6,36%</w:t>
            </w:r>
          </w:p>
        </w:tc>
        <w:tc>
          <w:tcPr>
            <w:tcW w:w="1736" w:type="dxa"/>
            <w:noWrap/>
            <w:vAlign w:val="bottom"/>
          </w:tcPr>
          <w:p w14:paraId="61E6353F" w14:textId="6ABE3ACD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-0,03%</w:t>
            </w:r>
          </w:p>
        </w:tc>
        <w:tc>
          <w:tcPr>
            <w:tcW w:w="1737" w:type="dxa"/>
            <w:noWrap/>
            <w:vAlign w:val="bottom"/>
          </w:tcPr>
          <w:p w14:paraId="5795964A" w14:textId="1EE2B2C6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40BF" w:rsidRPr="00A61F35" w14:paraId="2DF547D3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0F5E680" w14:textId="79F129C5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Sella Holding</w:t>
            </w:r>
          </w:p>
        </w:tc>
        <w:tc>
          <w:tcPr>
            <w:tcW w:w="1736" w:type="dxa"/>
            <w:noWrap/>
            <w:vAlign w:val="bottom"/>
          </w:tcPr>
          <w:p w14:paraId="149872D3" w14:textId="33DC7496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6,32%</w:t>
            </w:r>
          </w:p>
        </w:tc>
        <w:tc>
          <w:tcPr>
            <w:tcW w:w="1737" w:type="dxa"/>
            <w:noWrap/>
            <w:vAlign w:val="bottom"/>
          </w:tcPr>
          <w:p w14:paraId="3779D694" w14:textId="2B716873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5,08%</w:t>
            </w:r>
          </w:p>
        </w:tc>
        <w:tc>
          <w:tcPr>
            <w:tcW w:w="1736" w:type="dxa"/>
            <w:noWrap/>
            <w:vAlign w:val="bottom"/>
          </w:tcPr>
          <w:p w14:paraId="5829C202" w14:textId="38C0C1F8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1,24%</w:t>
            </w:r>
          </w:p>
        </w:tc>
        <w:tc>
          <w:tcPr>
            <w:tcW w:w="1737" w:type="dxa"/>
            <w:noWrap/>
            <w:vAlign w:val="bottom"/>
          </w:tcPr>
          <w:p w14:paraId="5504A330" w14:textId="55DE17CA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40BF" w:rsidRPr="00A61F35" w14:paraId="0582BC9D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D125E5" w14:textId="44439246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MPS Capital Services</w:t>
            </w:r>
          </w:p>
        </w:tc>
        <w:tc>
          <w:tcPr>
            <w:tcW w:w="1736" w:type="dxa"/>
            <w:noWrap/>
            <w:vAlign w:val="bottom"/>
          </w:tcPr>
          <w:p w14:paraId="33A79D88" w14:textId="6F4F64DD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3,43%</w:t>
            </w:r>
          </w:p>
        </w:tc>
        <w:tc>
          <w:tcPr>
            <w:tcW w:w="1737" w:type="dxa"/>
            <w:noWrap/>
            <w:vAlign w:val="bottom"/>
          </w:tcPr>
          <w:p w14:paraId="40532DFE" w14:textId="53DD5F88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2,08%</w:t>
            </w:r>
          </w:p>
        </w:tc>
        <w:tc>
          <w:tcPr>
            <w:tcW w:w="1736" w:type="dxa"/>
            <w:noWrap/>
            <w:vAlign w:val="bottom"/>
          </w:tcPr>
          <w:p w14:paraId="52183CF8" w14:textId="6EA6B7F3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1,35%</w:t>
            </w:r>
          </w:p>
        </w:tc>
        <w:tc>
          <w:tcPr>
            <w:tcW w:w="1737" w:type="dxa"/>
            <w:noWrap/>
            <w:vAlign w:val="bottom"/>
          </w:tcPr>
          <w:p w14:paraId="06E7CBD1" w14:textId="0CEBD36D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B40BF" w:rsidRPr="00A61F35" w14:paraId="1243B63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38A828B" w14:textId="4E1AB0AC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Intermonte SIM</w:t>
            </w:r>
          </w:p>
        </w:tc>
        <w:tc>
          <w:tcPr>
            <w:tcW w:w="1736" w:type="dxa"/>
            <w:noWrap/>
            <w:vAlign w:val="bottom"/>
          </w:tcPr>
          <w:p w14:paraId="73BEC81D" w14:textId="70F8998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2,61%</w:t>
            </w:r>
          </w:p>
        </w:tc>
        <w:tc>
          <w:tcPr>
            <w:tcW w:w="1737" w:type="dxa"/>
            <w:noWrap/>
            <w:vAlign w:val="bottom"/>
          </w:tcPr>
          <w:p w14:paraId="790FF485" w14:textId="0C2721EC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2,27%</w:t>
            </w:r>
          </w:p>
        </w:tc>
        <w:tc>
          <w:tcPr>
            <w:tcW w:w="1736" w:type="dxa"/>
            <w:noWrap/>
            <w:vAlign w:val="bottom"/>
          </w:tcPr>
          <w:p w14:paraId="74249969" w14:textId="544D05A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7" w:type="dxa"/>
            <w:noWrap/>
            <w:vAlign w:val="bottom"/>
          </w:tcPr>
          <w:p w14:paraId="3B1E3E2A" w14:textId="29DF4E0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40BF" w:rsidRPr="00A61F35" w14:paraId="676F248B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AB11C9D" w14:textId="76C16BBC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Nexi</w:t>
            </w:r>
          </w:p>
        </w:tc>
        <w:tc>
          <w:tcPr>
            <w:tcW w:w="1736" w:type="dxa"/>
            <w:noWrap/>
            <w:vAlign w:val="bottom"/>
          </w:tcPr>
          <w:p w14:paraId="07A39053" w14:textId="754EFB89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2,07%</w:t>
            </w:r>
          </w:p>
        </w:tc>
        <w:tc>
          <w:tcPr>
            <w:tcW w:w="1737" w:type="dxa"/>
            <w:noWrap/>
            <w:vAlign w:val="bottom"/>
          </w:tcPr>
          <w:p w14:paraId="28E47919" w14:textId="7214BAD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2,00%</w:t>
            </w:r>
          </w:p>
        </w:tc>
        <w:tc>
          <w:tcPr>
            <w:tcW w:w="1736" w:type="dxa"/>
            <w:noWrap/>
            <w:vAlign w:val="bottom"/>
          </w:tcPr>
          <w:p w14:paraId="60068FB8" w14:textId="2051B97B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0,07%</w:t>
            </w:r>
          </w:p>
        </w:tc>
        <w:tc>
          <w:tcPr>
            <w:tcW w:w="1737" w:type="dxa"/>
            <w:noWrap/>
            <w:vAlign w:val="bottom"/>
          </w:tcPr>
          <w:p w14:paraId="76C4654D" w14:textId="7A456DA2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0BF" w:rsidRPr="00A61F35" w14:paraId="5610F3E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D9E627" w14:textId="548BEAC5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Aletti</w:t>
            </w:r>
          </w:p>
        </w:tc>
        <w:tc>
          <w:tcPr>
            <w:tcW w:w="1736" w:type="dxa"/>
            <w:noWrap/>
            <w:vAlign w:val="bottom"/>
          </w:tcPr>
          <w:p w14:paraId="1B5F3119" w14:textId="16BA586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1,99%</w:t>
            </w:r>
          </w:p>
        </w:tc>
        <w:tc>
          <w:tcPr>
            <w:tcW w:w="1737" w:type="dxa"/>
            <w:noWrap/>
            <w:vAlign w:val="bottom"/>
          </w:tcPr>
          <w:p w14:paraId="2DEB5823" w14:textId="05DEB3FA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2,15%</w:t>
            </w:r>
          </w:p>
        </w:tc>
        <w:tc>
          <w:tcPr>
            <w:tcW w:w="1736" w:type="dxa"/>
            <w:noWrap/>
            <w:vAlign w:val="bottom"/>
          </w:tcPr>
          <w:p w14:paraId="38A0F834" w14:textId="4BAB2CA6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-0,16%</w:t>
            </w:r>
          </w:p>
        </w:tc>
        <w:tc>
          <w:tcPr>
            <w:tcW w:w="1737" w:type="dxa"/>
            <w:noWrap/>
            <w:vAlign w:val="bottom"/>
          </w:tcPr>
          <w:p w14:paraId="125EB34B" w14:textId="00DCCA4E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40BF" w:rsidRPr="00A61F35" w14:paraId="76BC416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6369AC79" w14:textId="3149B853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Iccrea Banca</w:t>
            </w:r>
          </w:p>
        </w:tc>
        <w:tc>
          <w:tcPr>
            <w:tcW w:w="1736" w:type="dxa"/>
            <w:noWrap/>
            <w:vAlign w:val="bottom"/>
          </w:tcPr>
          <w:p w14:paraId="680A89B4" w14:textId="74312583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1,21%</w:t>
            </w:r>
          </w:p>
        </w:tc>
        <w:tc>
          <w:tcPr>
            <w:tcW w:w="1737" w:type="dxa"/>
            <w:noWrap/>
            <w:vAlign w:val="bottom"/>
          </w:tcPr>
          <w:p w14:paraId="77519FDF" w14:textId="1C79045F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1,41%</w:t>
            </w:r>
          </w:p>
        </w:tc>
        <w:tc>
          <w:tcPr>
            <w:tcW w:w="1736" w:type="dxa"/>
            <w:noWrap/>
            <w:vAlign w:val="bottom"/>
          </w:tcPr>
          <w:p w14:paraId="116F13EB" w14:textId="69A9706C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-0,20%</w:t>
            </w:r>
          </w:p>
        </w:tc>
        <w:tc>
          <w:tcPr>
            <w:tcW w:w="1737" w:type="dxa"/>
            <w:noWrap/>
            <w:vAlign w:val="bottom"/>
          </w:tcPr>
          <w:p w14:paraId="6D5BD30B" w14:textId="244ADD1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0BF" w:rsidRPr="00A61F35" w14:paraId="1E22872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F2723A8" w14:textId="6711815E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UBI Banca</w:t>
            </w:r>
          </w:p>
        </w:tc>
        <w:tc>
          <w:tcPr>
            <w:tcW w:w="1736" w:type="dxa"/>
            <w:noWrap/>
            <w:vAlign w:val="bottom"/>
          </w:tcPr>
          <w:p w14:paraId="0B8F9FE7" w14:textId="259CD934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0,72%</w:t>
            </w:r>
          </w:p>
        </w:tc>
        <w:tc>
          <w:tcPr>
            <w:tcW w:w="1737" w:type="dxa"/>
            <w:noWrap/>
            <w:vAlign w:val="bottom"/>
          </w:tcPr>
          <w:p w14:paraId="1FF6196B" w14:textId="0D456281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0,64%</w:t>
            </w:r>
          </w:p>
        </w:tc>
        <w:tc>
          <w:tcPr>
            <w:tcW w:w="1736" w:type="dxa"/>
            <w:noWrap/>
            <w:vAlign w:val="bottom"/>
          </w:tcPr>
          <w:p w14:paraId="3F39CFB3" w14:textId="39E0B4B2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0,08%</w:t>
            </w:r>
          </w:p>
        </w:tc>
        <w:tc>
          <w:tcPr>
            <w:tcW w:w="1737" w:type="dxa"/>
            <w:noWrap/>
            <w:vAlign w:val="bottom"/>
          </w:tcPr>
          <w:p w14:paraId="27E1D7DA" w14:textId="7C80F597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B40BF" w:rsidRPr="00A61F35" w14:paraId="70FFC5F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DA7F5E1" w14:textId="7A5A9564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Generali</w:t>
            </w:r>
          </w:p>
        </w:tc>
        <w:tc>
          <w:tcPr>
            <w:tcW w:w="1736" w:type="dxa"/>
            <w:noWrap/>
            <w:vAlign w:val="bottom"/>
          </w:tcPr>
          <w:p w14:paraId="1F90853E" w14:textId="00222122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0,66%</w:t>
            </w:r>
          </w:p>
        </w:tc>
        <w:tc>
          <w:tcPr>
            <w:tcW w:w="1737" w:type="dxa"/>
            <w:noWrap/>
            <w:vAlign w:val="bottom"/>
          </w:tcPr>
          <w:p w14:paraId="06546076" w14:textId="385DB5F2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1,06%</w:t>
            </w:r>
          </w:p>
        </w:tc>
        <w:tc>
          <w:tcPr>
            <w:tcW w:w="1736" w:type="dxa"/>
            <w:noWrap/>
            <w:vAlign w:val="bottom"/>
          </w:tcPr>
          <w:p w14:paraId="6E054689" w14:textId="7E19DF47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-0,40%</w:t>
            </w:r>
          </w:p>
        </w:tc>
        <w:tc>
          <w:tcPr>
            <w:tcW w:w="1737" w:type="dxa"/>
            <w:noWrap/>
            <w:vAlign w:val="bottom"/>
          </w:tcPr>
          <w:p w14:paraId="5B6FF466" w14:textId="41979144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40BF" w:rsidRPr="00A61F35" w14:paraId="1FA9317F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F5B926B" w14:textId="6EACBBE3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Directa SIM</w:t>
            </w:r>
          </w:p>
        </w:tc>
        <w:tc>
          <w:tcPr>
            <w:tcW w:w="1736" w:type="dxa"/>
            <w:noWrap/>
            <w:vAlign w:val="bottom"/>
          </w:tcPr>
          <w:p w14:paraId="170CD124" w14:textId="73B0D9AA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0,65%</w:t>
            </w:r>
          </w:p>
        </w:tc>
        <w:tc>
          <w:tcPr>
            <w:tcW w:w="1737" w:type="dxa"/>
            <w:noWrap/>
            <w:vAlign w:val="bottom"/>
          </w:tcPr>
          <w:p w14:paraId="61C00361" w14:textId="629B45A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1E4E8E03" w14:textId="79CC9526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0,65%</w:t>
            </w:r>
          </w:p>
        </w:tc>
        <w:tc>
          <w:tcPr>
            <w:tcW w:w="1737" w:type="dxa"/>
            <w:noWrap/>
            <w:vAlign w:val="bottom"/>
          </w:tcPr>
          <w:p w14:paraId="46AAC089" w14:textId="3882BF74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8B40BF" w:rsidRPr="00A61F35" w14:paraId="6398FD70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8DC93ED" w14:textId="0AF7874E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Mediobanca</w:t>
            </w:r>
          </w:p>
        </w:tc>
        <w:tc>
          <w:tcPr>
            <w:tcW w:w="1736" w:type="dxa"/>
            <w:noWrap/>
            <w:vAlign w:val="bottom"/>
          </w:tcPr>
          <w:p w14:paraId="0123CD2F" w14:textId="550E7DB9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0,60%</w:t>
            </w:r>
          </w:p>
        </w:tc>
        <w:tc>
          <w:tcPr>
            <w:tcW w:w="1737" w:type="dxa"/>
            <w:noWrap/>
            <w:vAlign w:val="bottom"/>
          </w:tcPr>
          <w:p w14:paraId="55832EA2" w14:textId="27F9F980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0,34%</w:t>
            </w:r>
          </w:p>
        </w:tc>
        <w:tc>
          <w:tcPr>
            <w:tcW w:w="1736" w:type="dxa"/>
            <w:noWrap/>
            <w:vAlign w:val="bottom"/>
          </w:tcPr>
          <w:p w14:paraId="24A0DD4A" w14:textId="3BE56E6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0,26%</w:t>
            </w:r>
          </w:p>
        </w:tc>
        <w:tc>
          <w:tcPr>
            <w:tcW w:w="1737" w:type="dxa"/>
            <w:noWrap/>
            <w:vAlign w:val="bottom"/>
          </w:tcPr>
          <w:p w14:paraId="4A56160E" w14:textId="6BCA3E03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B40BF" w:rsidRPr="00A61F35" w14:paraId="7B2D792E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F3F902B" w14:textId="48B9E0F1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Banca Intermobiliare</w:t>
            </w:r>
          </w:p>
        </w:tc>
        <w:tc>
          <w:tcPr>
            <w:tcW w:w="1736" w:type="dxa"/>
            <w:noWrap/>
            <w:vAlign w:val="bottom"/>
          </w:tcPr>
          <w:p w14:paraId="448AC3B2" w14:textId="1DF74E1A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7" w:type="dxa"/>
            <w:noWrap/>
            <w:vAlign w:val="bottom"/>
          </w:tcPr>
          <w:p w14:paraId="1A826A18" w14:textId="337BF90A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0,31%</w:t>
            </w:r>
          </w:p>
        </w:tc>
        <w:tc>
          <w:tcPr>
            <w:tcW w:w="1736" w:type="dxa"/>
            <w:noWrap/>
            <w:vAlign w:val="bottom"/>
          </w:tcPr>
          <w:p w14:paraId="182CD9D0" w14:textId="360DB3F3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-0,01%</w:t>
            </w:r>
          </w:p>
        </w:tc>
        <w:tc>
          <w:tcPr>
            <w:tcW w:w="1737" w:type="dxa"/>
            <w:noWrap/>
            <w:vAlign w:val="bottom"/>
          </w:tcPr>
          <w:p w14:paraId="0BACB1CB" w14:textId="46BD376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40BF" w:rsidRPr="00A61F35" w14:paraId="51016FA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1A8EE202" w14:textId="64039195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Credem</w:t>
            </w:r>
          </w:p>
        </w:tc>
        <w:tc>
          <w:tcPr>
            <w:tcW w:w="1736" w:type="dxa"/>
            <w:noWrap/>
            <w:vAlign w:val="bottom"/>
          </w:tcPr>
          <w:p w14:paraId="768129C9" w14:textId="77F4E42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0,28%</w:t>
            </w:r>
          </w:p>
        </w:tc>
        <w:tc>
          <w:tcPr>
            <w:tcW w:w="1737" w:type="dxa"/>
            <w:noWrap/>
            <w:vAlign w:val="bottom"/>
          </w:tcPr>
          <w:p w14:paraId="542CF3A9" w14:textId="08E2BDDD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0,30%</w:t>
            </w:r>
          </w:p>
        </w:tc>
        <w:tc>
          <w:tcPr>
            <w:tcW w:w="1736" w:type="dxa"/>
            <w:noWrap/>
            <w:vAlign w:val="bottom"/>
          </w:tcPr>
          <w:p w14:paraId="5B8C8D1C" w14:textId="7D9A7237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-0,02%</w:t>
            </w:r>
          </w:p>
        </w:tc>
        <w:tc>
          <w:tcPr>
            <w:tcW w:w="1737" w:type="dxa"/>
            <w:noWrap/>
            <w:vAlign w:val="bottom"/>
          </w:tcPr>
          <w:p w14:paraId="3A0E4889" w14:textId="291CAB42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40BF" w:rsidRPr="00A61F35" w14:paraId="48C8830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F266417" w14:textId="4BE2BF71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Equita SIM</w:t>
            </w:r>
          </w:p>
        </w:tc>
        <w:tc>
          <w:tcPr>
            <w:tcW w:w="1736" w:type="dxa"/>
            <w:noWrap/>
            <w:vAlign w:val="bottom"/>
          </w:tcPr>
          <w:p w14:paraId="3EDAA630" w14:textId="54D7424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0,18%</w:t>
            </w:r>
          </w:p>
        </w:tc>
        <w:tc>
          <w:tcPr>
            <w:tcW w:w="1737" w:type="dxa"/>
            <w:noWrap/>
            <w:vAlign w:val="bottom"/>
          </w:tcPr>
          <w:p w14:paraId="6526657D" w14:textId="611714D4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0,06%</w:t>
            </w:r>
          </w:p>
        </w:tc>
        <w:tc>
          <w:tcPr>
            <w:tcW w:w="1736" w:type="dxa"/>
            <w:noWrap/>
            <w:vAlign w:val="bottom"/>
          </w:tcPr>
          <w:p w14:paraId="0D105563" w14:textId="4D870432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0,13%</w:t>
            </w:r>
          </w:p>
        </w:tc>
        <w:tc>
          <w:tcPr>
            <w:tcW w:w="1737" w:type="dxa"/>
            <w:noWrap/>
            <w:vAlign w:val="bottom"/>
          </w:tcPr>
          <w:p w14:paraId="46A87CCC" w14:textId="4FB8E3AE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40BF" w:rsidRPr="00A61F35" w14:paraId="461A45D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4F57E3CF" w14:textId="03036B2C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UBS Ltd</w:t>
            </w:r>
          </w:p>
        </w:tc>
        <w:tc>
          <w:tcPr>
            <w:tcW w:w="1736" w:type="dxa"/>
            <w:noWrap/>
            <w:vAlign w:val="bottom"/>
          </w:tcPr>
          <w:p w14:paraId="79CB597B" w14:textId="35332C1C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934C95C" w14:textId="072FFFB3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491D83B2" w14:textId="5771321E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C522320" w14:textId="2C9C9CAA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B40BF" w:rsidRPr="00A61F35" w14:paraId="1E2B616D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78F5F9F5" w14:textId="1EA36B56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BPER</w:t>
            </w:r>
          </w:p>
        </w:tc>
        <w:tc>
          <w:tcPr>
            <w:tcW w:w="1736" w:type="dxa"/>
            <w:noWrap/>
            <w:vAlign w:val="bottom"/>
          </w:tcPr>
          <w:p w14:paraId="0F831655" w14:textId="306ADA70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2FC64C4" w14:textId="0E4AD774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6" w:type="dxa"/>
            <w:noWrap/>
            <w:vAlign w:val="bottom"/>
          </w:tcPr>
          <w:p w14:paraId="17B27B49" w14:textId="68382BA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5306F52" w14:textId="4DF0379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B40BF" w:rsidRPr="00A61F35" w14:paraId="343E4B88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014554C3" w14:textId="13921226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Morgan Stanley</w:t>
            </w:r>
          </w:p>
        </w:tc>
        <w:tc>
          <w:tcPr>
            <w:tcW w:w="1736" w:type="dxa"/>
            <w:noWrap/>
            <w:vAlign w:val="bottom"/>
          </w:tcPr>
          <w:p w14:paraId="5BD17F3A" w14:textId="65CEF14D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0F0AAB5E" w14:textId="4F0C0B56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275CE52E" w14:textId="1C1BBF75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1D0D9BF" w14:textId="6F8C9D7A" w:rsidR="008B40BF" w:rsidRPr="003E6111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8B40BF" w:rsidRPr="00A61F35" w14:paraId="72AEC65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54E45D66" w14:textId="00825772" w:rsidR="008B40BF" w:rsidRPr="003E6111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Societe Generale</w:t>
            </w:r>
          </w:p>
        </w:tc>
        <w:tc>
          <w:tcPr>
            <w:tcW w:w="1736" w:type="dxa"/>
            <w:noWrap/>
            <w:vAlign w:val="bottom"/>
          </w:tcPr>
          <w:p w14:paraId="57DFE659" w14:textId="23616949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4394CB6F" w14:textId="6B10EA30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0,04%</w:t>
            </w:r>
          </w:p>
        </w:tc>
        <w:tc>
          <w:tcPr>
            <w:tcW w:w="1736" w:type="dxa"/>
            <w:noWrap/>
            <w:vAlign w:val="bottom"/>
          </w:tcPr>
          <w:p w14:paraId="3E4D38C4" w14:textId="02F52286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-0,04%</w:t>
            </w:r>
          </w:p>
        </w:tc>
        <w:tc>
          <w:tcPr>
            <w:tcW w:w="1737" w:type="dxa"/>
            <w:noWrap/>
            <w:vAlign w:val="bottom"/>
          </w:tcPr>
          <w:p w14:paraId="33879012" w14:textId="113A19EB" w:rsidR="008B40BF" w:rsidRPr="003E6111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40BF" w:rsidRPr="00A61F35" w14:paraId="6285B04E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35FC2CEF" w14:textId="7D00F86E" w:rsidR="008B40BF" w:rsidRPr="00821235" w:rsidRDefault="008B40BF" w:rsidP="008B40B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Deutsche Bank AG</w:t>
            </w:r>
          </w:p>
        </w:tc>
        <w:tc>
          <w:tcPr>
            <w:tcW w:w="1736" w:type="dxa"/>
            <w:noWrap/>
            <w:vAlign w:val="bottom"/>
          </w:tcPr>
          <w:p w14:paraId="2654962E" w14:textId="29477D50" w:rsidR="008B40BF" w:rsidRPr="00821235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161235E2" w14:textId="369F2886" w:rsidR="008B40BF" w:rsidRPr="00821235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36" w:type="dxa"/>
            <w:noWrap/>
            <w:vAlign w:val="bottom"/>
          </w:tcPr>
          <w:p w14:paraId="53A9EA67" w14:textId="12E27AF1" w:rsidR="008B40BF" w:rsidRPr="00821235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737" w:type="dxa"/>
            <w:noWrap/>
            <w:vAlign w:val="bottom"/>
          </w:tcPr>
          <w:p w14:paraId="38926050" w14:textId="1593365C" w:rsidR="008B40BF" w:rsidRPr="00821235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8B40BF" w:rsidRPr="00A61F35" w14:paraId="7356CE6D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bottom"/>
          </w:tcPr>
          <w:p w14:paraId="2380B3E4" w14:textId="77777777" w:rsidR="008B40BF" w:rsidRDefault="008B40BF" w:rsidP="008B40BF">
            <w:pPr>
              <w:rPr>
                <w:rFonts w:ascii="Calibri" w:hAnsi="Calibri" w:cs="Calibri"/>
              </w:rPr>
            </w:pPr>
          </w:p>
        </w:tc>
        <w:tc>
          <w:tcPr>
            <w:tcW w:w="1736" w:type="dxa"/>
            <w:noWrap/>
            <w:vAlign w:val="bottom"/>
          </w:tcPr>
          <w:p w14:paraId="1B8200BB" w14:textId="4B9933D9" w:rsidR="008B40B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99,17%</w:t>
            </w:r>
          </w:p>
        </w:tc>
        <w:tc>
          <w:tcPr>
            <w:tcW w:w="1737" w:type="dxa"/>
            <w:noWrap/>
            <w:vAlign w:val="bottom"/>
          </w:tcPr>
          <w:p w14:paraId="6562C3AC" w14:textId="4F66F029" w:rsidR="008B40B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88,66%</w:t>
            </w:r>
          </w:p>
        </w:tc>
        <w:tc>
          <w:tcPr>
            <w:tcW w:w="1736" w:type="dxa"/>
            <w:noWrap/>
            <w:vAlign w:val="bottom"/>
          </w:tcPr>
          <w:p w14:paraId="18F9911A" w14:textId="77777777" w:rsidR="008B40B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7" w:type="dxa"/>
            <w:noWrap/>
            <w:vAlign w:val="bottom"/>
          </w:tcPr>
          <w:p w14:paraId="39405056" w14:textId="77777777" w:rsidR="008B40B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E3F61" w:rsidRPr="00A61F35" w14:paraId="3A5E8736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DC998F9" w14:textId="77777777" w:rsidR="000E3F61" w:rsidRPr="00821235" w:rsidRDefault="000E3F61" w:rsidP="000E3F61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821235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bottom"/>
          </w:tcPr>
          <w:p w14:paraId="79FE4CDD" w14:textId="08E5487B" w:rsidR="000E3F61" w:rsidRPr="003E6111" w:rsidRDefault="000E3F61" w:rsidP="000E3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2BD7B445" w14:textId="10B4F345" w:rsidR="000E3F61" w:rsidRPr="003E6111" w:rsidRDefault="000E3F61" w:rsidP="000E3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D2B89D2" w14:textId="77777777" w:rsidR="000E3F61" w:rsidRPr="00821235" w:rsidRDefault="000E3F61" w:rsidP="000E3F6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A52ED18" w14:textId="77777777" w:rsidR="000E3F61" w:rsidRPr="00821235" w:rsidRDefault="000E3F61" w:rsidP="000E3F61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776061F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5D5B57E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2A081A2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299FC0A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86703D2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30A504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DB5939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9EC2116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2BE0E0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02BFB0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249298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BCA396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808912A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BB5B806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56187C3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9A2058E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7BBD78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5F4DEB5" w14:textId="77777777" w:rsidR="00626B76" w:rsidRPr="00626B76" w:rsidRDefault="00626B76" w:rsidP="00626B76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>
        <w:rPr>
          <w:color w:val="4F81BD" w:themeColor="accent1"/>
        </w:rPr>
        <w:lastRenderedPageBreak/>
        <w:t>HIMTF:</w:t>
      </w:r>
      <w:r w:rsidRPr="00626B76">
        <w:rPr>
          <w:color w:val="4F81BD" w:themeColor="accent1"/>
        </w:rPr>
        <w:t xml:space="preserve"> OPERAZIONI ESEGUITE CONTO TERZI</w:t>
      </w:r>
    </w:p>
    <w:p w14:paraId="5E10A6EF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61F35" w14:paraId="128D5F6B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3FE10F38" w14:textId="77777777" w:rsidR="00A635A4" w:rsidRPr="00A61F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61F35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38119C81" w14:textId="0F2A926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6ADCD71" w14:textId="68A6BC7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4AF33F5" w14:textId="07865A0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22B83620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0507AD3B" w14:textId="100123B3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B40BF" w:rsidRPr="00A61F35" w14:paraId="17FF10BC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4923B13" w14:textId="49D5EB7A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Banca Akros</w:t>
            </w:r>
          </w:p>
        </w:tc>
        <w:tc>
          <w:tcPr>
            <w:tcW w:w="1736" w:type="dxa"/>
            <w:noWrap/>
          </w:tcPr>
          <w:p w14:paraId="08F13261" w14:textId="2EB78D86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23,49%</w:t>
            </w:r>
          </w:p>
        </w:tc>
        <w:tc>
          <w:tcPr>
            <w:tcW w:w="1737" w:type="dxa"/>
            <w:noWrap/>
          </w:tcPr>
          <w:p w14:paraId="28266AFD" w14:textId="52BD1E3A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16,75%</w:t>
            </w:r>
          </w:p>
        </w:tc>
        <w:tc>
          <w:tcPr>
            <w:tcW w:w="1736" w:type="dxa"/>
            <w:noWrap/>
          </w:tcPr>
          <w:p w14:paraId="64E324C7" w14:textId="3C3D7B06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6,74%</w:t>
            </w:r>
          </w:p>
        </w:tc>
        <w:tc>
          <w:tcPr>
            <w:tcW w:w="1737" w:type="dxa"/>
            <w:noWrap/>
          </w:tcPr>
          <w:p w14:paraId="7906E152" w14:textId="1DA57ADC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4</w:t>
            </w:r>
          </w:p>
        </w:tc>
      </w:tr>
      <w:tr w:rsidR="008B40BF" w:rsidRPr="00A61F35" w14:paraId="0C4EEE0A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F31BF36" w14:textId="7067100D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Iccrea Banca</w:t>
            </w:r>
          </w:p>
        </w:tc>
        <w:tc>
          <w:tcPr>
            <w:tcW w:w="1736" w:type="dxa"/>
            <w:noWrap/>
          </w:tcPr>
          <w:p w14:paraId="228135F6" w14:textId="3CDFC386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20,04%</w:t>
            </w:r>
          </w:p>
        </w:tc>
        <w:tc>
          <w:tcPr>
            <w:tcW w:w="1737" w:type="dxa"/>
            <w:noWrap/>
          </w:tcPr>
          <w:p w14:paraId="51FFF2D0" w14:textId="6F5CCECF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18,82%</w:t>
            </w:r>
          </w:p>
        </w:tc>
        <w:tc>
          <w:tcPr>
            <w:tcW w:w="1736" w:type="dxa"/>
            <w:noWrap/>
          </w:tcPr>
          <w:p w14:paraId="6312E43C" w14:textId="5676C0F3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1,22%</w:t>
            </w:r>
          </w:p>
        </w:tc>
        <w:tc>
          <w:tcPr>
            <w:tcW w:w="1737" w:type="dxa"/>
            <w:noWrap/>
          </w:tcPr>
          <w:p w14:paraId="66CAC75B" w14:textId="24D51DE5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3</w:t>
            </w:r>
          </w:p>
        </w:tc>
      </w:tr>
      <w:tr w:rsidR="008B40BF" w:rsidRPr="00A61F35" w14:paraId="3CAF7C53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B0EB266" w14:textId="1EE89816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Nexi</w:t>
            </w:r>
          </w:p>
        </w:tc>
        <w:tc>
          <w:tcPr>
            <w:tcW w:w="1736" w:type="dxa"/>
            <w:noWrap/>
          </w:tcPr>
          <w:p w14:paraId="0DDED8D0" w14:textId="5C1F38D1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14,88%</w:t>
            </w:r>
          </w:p>
        </w:tc>
        <w:tc>
          <w:tcPr>
            <w:tcW w:w="1737" w:type="dxa"/>
            <w:noWrap/>
          </w:tcPr>
          <w:p w14:paraId="39304A4D" w14:textId="34D385F0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19,98%</w:t>
            </w:r>
          </w:p>
        </w:tc>
        <w:tc>
          <w:tcPr>
            <w:tcW w:w="1736" w:type="dxa"/>
            <w:noWrap/>
          </w:tcPr>
          <w:p w14:paraId="0C9F424B" w14:textId="31C62420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-5,10%</w:t>
            </w:r>
          </w:p>
        </w:tc>
        <w:tc>
          <w:tcPr>
            <w:tcW w:w="1737" w:type="dxa"/>
            <w:noWrap/>
          </w:tcPr>
          <w:p w14:paraId="54BEF450" w14:textId="1964B499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</w:t>
            </w:r>
          </w:p>
        </w:tc>
      </w:tr>
      <w:tr w:rsidR="008B40BF" w:rsidRPr="00A61F35" w14:paraId="2BA84580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3415F22" w14:textId="4771044F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Banca IMI</w:t>
            </w:r>
          </w:p>
        </w:tc>
        <w:tc>
          <w:tcPr>
            <w:tcW w:w="1736" w:type="dxa"/>
            <w:noWrap/>
          </w:tcPr>
          <w:p w14:paraId="6DEB732A" w14:textId="55BF236A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13,71%</w:t>
            </w:r>
          </w:p>
        </w:tc>
        <w:tc>
          <w:tcPr>
            <w:tcW w:w="1737" w:type="dxa"/>
            <w:noWrap/>
          </w:tcPr>
          <w:p w14:paraId="7CAE0DF6" w14:textId="20BE75BF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5,21%</w:t>
            </w:r>
          </w:p>
        </w:tc>
        <w:tc>
          <w:tcPr>
            <w:tcW w:w="1736" w:type="dxa"/>
            <w:noWrap/>
          </w:tcPr>
          <w:p w14:paraId="3C5A9260" w14:textId="45B7EADE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8,50%</w:t>
            </w:r>
          </w:p>
        </w:tc>
        <w:tc>
          <w:tcPr>
            <w:tcW w:w="1737" w:type="dxa"/>
            <w:noWrap/>
          </w:tcPr>
          <w:p w14:paraId="79AE3806" w14:textId="3BBA0F41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6</w:t>
            </w:r>
          </w:p>
        </w:tc>
      </w:tr>
      <w:tr w:rsidR="008B40BF" w:rsidRPr="00A61F35" w14:paraId="66F334B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17F1B22" w14:textId="6BE80AD3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Banca Aletti</w:t>
            </w:r>
          </w:p>
        </w:tc>
        <w:tc>
          <w:tcPr>
            <w:tcW w:w="1736" w:type="dxa"/>
            <w:noWrap/>
          </w:tcPr>
          <w:p w14:paraId="3440ED2D" w14:textId="3FF4352B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11,42%</w:t>
            </w:r>
          </w:p>
        </w:tc>
        <w:tc>
          <w:tcPr>
            <w:tcW w:w="1737" w:type="dxa"/>
            <w:noWrap/>
          </w:tcPr>
          <w:p w14:paraId="39D79AB5" w14:textId="16A8777C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27,23%</w:t>
            </w:r>
          </w:p>
        </w:tc>
        <w:tc>
          <w:tcPr>
            <w:tcW w:w="1736" w:type="dxa"/>
            <w:noWrap/>
          </w:tcPr>
          <w:p w14:paraId="1F56F6E9" w14:textId="57FC80C0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-15,81%</w:t>
            </w:r>
          </w:p>
        </w:tc>
        <w:tc>
          <w:tcPr>
            <w:tcW w:w="1737" w:type="dxa"/>
            <w:noWrap/>
          </w:tcPr>
          <w:p w14:paraId="664B045C" w14:textId="0CE42224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</w:t>
            </w:r>
          </w:p>
        </w:tc>
      </w:tr>
      <w:tr w:rsidR="008B40BF" w:rsidRPr="00A61F35" w14:paraId="2920BA91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B39E430" w14:textId="26FE7122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Finecobank</w:t>
            </w:r>
          </w:p>
        </w:tc>
        <w:tc>
          <w:tcPr>
            <w:tcW w:w="1736" w:type="dxa"/>
            <w:noWrap/>
          </w:tcPr>
          <w:p w14:paraId="16F3D683" w14:textId="0A46E5B8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6,46%</w:t>
            </w:r>
          </w:p>
        </w:tc>
        <w:tc>
          <w:tcPr>
            <w:tcW w:w="1737" w:type="dxa"/>
            <w:noWrap/>
          </w:tcPr>
          <w:p w14:paraId="23792799" w14:textId="5CE77871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2,91%</w:t>
            </w:r>
          </w:p>
        </w:tc>
        <w:tc>
          <w:tcPr>
            <w:tcW w:w="1736" w:type="dxa"/>
            <w:noWrap/>
          </w:tcPr>
          <w:p w14:paraId="79F0E169" w14:textId="37047486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3,55%</w:t>
            </w:r>
          </w:p>
        </w:tc>
        <w:tc>
          <w:tcPr>
            <w:tcW w:w="1737" w:type="dxa"/>
            <w:noWrap/>
          </w:tcPr>
          <w:p w14:paraId="29046844" w14:textId="40F6FA9E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7</w:t>
            </w:r>
          </w:p>
        </w:tc>
      </w:tr>
      <w:tr w:rsidR="008B40BF" w:rsidRPr="00A61F35" w14:paraId="275F5665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7A2198D" w14:textId="5DF9533E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Banca Sella Holding</w:t>
            </w:r>
          </w:p>
        </w:tc>
        <w:tc>
          <w:tcPr>
            <w:tcW w:w="1736" w:type="dxa"/>
            <w:noWrap/>
          </w:tcPr>
          <w:p w14:paraId="50BB1DFF" w14:textId="40FB552E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5,17%</w:t>
            </w:r>
          </w:p>
        </w:tc>
        <w:tc>
          <w:tcPr>
            <w:tcW w:w="1737" w:type="dxa"/>
            <w:noWrap/>
          </w:tcPr>
          <w:p w14:paraId="357AAF6E" w14:textId="04FF8F85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6,82%</w:t>
            </w:r>
          </w:p>
        </w:tc>
        <w:tc>
          <w:tcPr>
            <w:tcW w:w="1736" w:type="dxa"/>
            <w:noWrap/>
          </w:tcPr>
          <w:p w14:paraId="3EA8E91A" w14:textId="5B319192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-1,65%</w:t>
            </w:r>
          </w:p>
        </w:tc>
        <w:tc>
          <w:tcPr>
            <w:tcW w:w="1737" w:type="dxa"/>
            <w:noWrap/>
          </w:tcPr>
          <w:p w14:paraId="710351A0" w14:textId="17AA66FB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5</w:t>
            </w:r>
          </w:p>
        </w:tc>
      </w:tr>
      <w:tr w:rsidR="008B40BF" w:rsidRPr="00A61F35" w14:paraId="46D0FF73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F82307E" w14:textId="7F3D75F5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MPS Capital Services</w:t>
            </w:r>
          </w:p>
        </w:tc>
        <w:tc>
          <w:tcPr>
            <w:tcW w:w="1736" w:type="dxa"/>
            <w:noWrap/>
          </w:tcPr>
          <w:p w14:paraId="108B1669" w14:textId="73E342D8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2,57%</w:t>
            </w:r>
          </w:p>
        </w:tc>
        <w:tc>
          <w:tcPr>
            <w:tcW w:w="1737" w:type="dxa"/>
            <w:noWrap/>
          </w:tcPr>
          <w:p w14:paraId="42E77C4E" w14:textId="708848A2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1,31%</w:t>
            </w:r>
          </w:p>
        </w:tc>
        <w:tc>
          <w:tcPr>
            <w:tcW w:w="1736" w:type="dxa"/>
            <w:noWrap/>
          </w:tcPr>
          <w:p w14:paraId="4598A516" w14:textId="37576BE8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1,26%</w:t>
            </w:r>
          </w:p>
        </w:tc>
        <w:tc>
          <w:tcPr>
            <w:tcW w:w="1737" w:type="dxa"/>
            <w:noWrap/>
          </w:tcPr>
          <w:p w14:paraId="0C02144A" w14:textId="2FD38344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8</w:t>
            </w:r>
          </w:p>
        </w:tc>
      </w:tr>
      <w:tr w:rsidR="008B40BF" w:rsidRPr="00A61F35" w14:paraId="0A92D07F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AE4AAD4" w14:textId="605F9554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Equita SIM</w:t>
            </w:r>
          </w:p>
        </w:tc>
        <w:tc>
          <w:tcPr>
            <w:tcW w:w="1736" w:type="dxa"/>
            <w:noWrap/>
          </w:tcPr>
          <w:p w14:paraId="117A6EDF" w14:textId="4DF0983F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1,18%</w:t>
            </w:r>
          </w:p>
        </w:tc>
        <w:tc>
          <w:tcPr>
            <w:tcW w:w="1737" w:type="dxa"/>
            <w:noWrap/>
          </w:tcPr>
          <w:p w14:paraId="20FC0B0C" w14:textId="59071611" w:rsidR="008B40BF" w:rsidRPr="00D3781F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36" w:type="dxa"/>
            <w:noWrap/>
          </w:tcPr>
          <w:p w14:paraId="0040A162" w14:textId="44C2DD2F" w:rsidR="008B40BF" w:rsidRPr="00D3781F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37" w:type="dxa"/>
            <w:noWrap/>
          </w:tcPr>
          <w:p w14:paraId="4A7BCDCB" w14:textId="2497E298" w:rsidR="008B40BF" w:rsidRPr="00D3781F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B40BF" w:rsidRPr="00A61F35" w14:paraId="300117D9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D5561A4" w14:textId="220D95D6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Invest Banca</w:t>
            </w:r>
          </w:p>
        </w:tc>
        <w:tc>
          <w:tcPr>
            <w:tcW w:w="1736" w:type="dxa"/>
            <w:noWrap/>
          </w:tcPr>
          <w:p w14:paraId="0F8FB1B0" w14:textId="7E39EA43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0,80%</w:t>
            </w:r>
          </w:p>
        </w:tc>
        <w:tc>
          <w:tcPr>
            <w:tcW w:w="1737" w:type="dxa"/>
            <w:noWrap/>
          </w:tcPr>
          <w:p w14:paraId="16A07000" w14:textId="0EDCFD09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0,71%</w:t>
            </w:r>
          </w:p>
        </w:tc>
        <w:tc>
          <w:tcPr>
            <w:tcW w:w="1736" w:type="dxa"/>
            <w:noWrap/>
          </w:tcPr>
          <w:p w14:paraId="23F57948" w14:textId="4EE3FCF0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0,09%</w:t>
            </w:r>
          </w:p>
        </w:tc>
        <w:tc>
          <w:tcPr>
            <w:tcW w:w="1737" w:type="dxa"/>
            <w:noWrap/>
          </w:tcPr>
          <w:p w14:paraId="1B3A8B5C" w14:textId="1B6B65A5" w:rsidR="008B40BF" w:rsidRPr="00D3781F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9</w:t>
            </w:r>
          </w:p>
        </w:tc>
      </w:tr>
      <w:tr w:rsidR="008B40BF" w:rsidRPr="00A61F35" w14:paraId="24507B52" w14:textId="77777777" w:rsidTr="00C5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4FCA7FD" w14:textId="02273859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 xml:space="preserve">IwBank </w:t>
            </w:r>
          </w:p>
        </w:tc>
        <w:tc>
          <w:tcPr>
            <w:tcW w:w="1736" w:type="dxa"/>
            <w:noWrap/>
          </w:tcPr>
          <w:p w14:paraId="5BC56BAD" w14:textId="35A953CC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0,19%</w:t>
            </w:r>
          </w:p>
        </w:tc>
        <w:tc>
          <w:tcPr>
            <w:tcW w:w="1737" w:type="dxa"/>
            <w:noWrap/>
          </w:tcPr>
          <w:p w14:paraId="3FC0B2B9" w14:textId="3C008C0F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0,20%</w:t>
            </w:r>
          </w:p>
        </w:tc>
        <w:tc>
          <w:tcPr>
            <w:tcW w:w="1736" w:type="dxa"/>
            <w:noWrap/>
          </w:tcPr>
          <w:p w14:paraId="5E954C1B" w14:textId="7C09E8D9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-0,01%</w:t>
            </w:r>
          </w:p>
        </w:tc>
        <w:tc>
          <w:tcPr>
            <w:tcW w:w="1737" w:type="dxa"/>
            <w:noWrap/>
          </w:tcPr>
          <w:p w14:paraId="20958D0A" w14:textId="2336BF06" w:rsidR="008B40BF" w:rsidRPr="00D3781F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360">
              <w:t>10</w:t>
            </w:r>
          </w:p>
        </w:tc>
      </w:tr>
      <w:tr w:rsidR="008B40BF" w:rsidRPr="00A61F35" w14:paraId="2384B656" w14:textId="77777777" w:rsidTr="00C50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E97C597" w14:textId="064B1C21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Banca Intermobiliare</w:t>
            </w:r>
          </w:p>
        </w:tc>
        <w:tc>
          <w:tcPr>
            <w:tcW w:w="1736" w:type="dxa"/>
            <w:noWrap/>
          </w:tcPr>
          <w:p w14:paraId="5F8412A9" w14:textId="0A82D464" w:rsidR="008B40BF" w:rsidRPr="00A61F35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D22360">
              <w:t>0,08%</w:t>
            </w:r>
          </w:p>
        </w:tc>
        <w:tc>
          <w:tcPr>
            <w:tcW w:w="1737" w:type="dxa"/>
            <w:noWrap/>
          </w:tcPr>
          <w:p w14:paraId="68CCD14E" w14:textId="581AAEDC" w:rsidR="008B40BF" w:rsidRPr="00A61F35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22360">
              <w:t>0,07%</w:t>
            </w:r>
          </w:p>
        </w:tc>
        <w:tc>
          <w:tcPr>
            <w:tcW w:w="1736" w:type="dxa"/>
            <w:noWrap/>
          </w:tcPr>
          <w:p w14:paraId="14869D77" w14:textId="12B3000C" w:rsidR="008B40BF" w:rsidRPr="00A61F35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22360">
              <w:t>0,01%</w:t>
            </w:r>
          </w:p>
        </w:tc>
        <w:tc>
          <w:tcPr>
            <w:tcW w:w="1737" w:type="dxa"/>
            <w:noWrap/>
          </w:tcPr>
          <w:p w14:paraId="0B53A8F0" w14:textId="781582D4" w:rsidR="008B40BF" w:rsidRPr="00A61F35" w:rsidRDefault="008B40BF" w:rsidP="008B4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22360">
              <w:t>11</w:t>
            </w:r>
          </w:p>
        </w:tc>
      </w:tr>
      <w:tr w:rsidR="008B40BF" w:rsidRPr="00A61F35" w14:paraId="3C83CC4F" w14:textId="77777777" w:rsidTr="00570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553CF18" w14:textId="6C49013D" w:rsidR="008B40BF" w:rsidRPr="00D3781F" w:rsidRDefault="008B40BF" w:rsidP="008B40BF">
            <w:pPr>
              <w:rPr>
                <w:sz w:val="20"/>
                <w:szCs w:val="20"/>
              </w:rPr>
            </w:pPr>
            <w:r w:rsidRPr="00D22360">
              <w:t>Nuovi Investimenti SIM</w:t>
            </w:r>
          </w:p>
        </w:tc>
        <w:tc>
          <w:tcPr>
            <w:tcW w:w="1736" w:type="dxa"/>
            <w:noWrap/>
          </w:tcPr>
          <w:p w14:paraId="6B3C9AFE" w14:textId="47C175AC" w:rsidR="008B40BF" w:rsidRPr="00A61F35" w:rsidRDefault="008B40BF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D22360">
              <w:t>0,00%</w:t>
            </w:r>
          </w:p>
        </w:tc>
        <w:tc>
          <w:tcPr>
            <w:tcW w:w="1737" w:type="dxa"/>
            <w:noWrap/>
          </w:tcPr>
          <w:p w14:paraId="0F12E2DC" w14:textId="7FE66523" w:rsidR="008B40BF" w:rsidRPr="00A61F35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736" w:type="dxa"/>
            <w:noWrap/>
          </w:tcPr>
          <w:p w14:paraId="6295CAA4" w14:textId="02AC3C74" w:rsidR="008B40BF" w:rsidRPr="00A61F35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737" w:type="dxa"/>
            <w:noWrap/>
          </w:tcPr>
          <w:p w14:paraId="278BE2AD" w14:textId="71DC9A63" w:rsidR="008B40BF" w:rsidRPr="00A61F35" w:rsidRDefault="00711BC4" w:rsidP="008B4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</w:tr>
      <w:tr w:rsidR="00626B76" w:rsidRPr="00A61F35" w14:paraId="70A9AF5D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741B4CA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EC164CE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C44E7E2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A80BA04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76D2177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7A602B89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8B97A85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E9E2459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3E5309D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A86DF6A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33599F5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1E98F4D2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6731750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8522B50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5447F9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359DFD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EE1B44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2785BF3F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CF4CC17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468A3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B311D32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639F05E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7C6FA85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0D4694C1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F107EE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4CA275B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A548521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784303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53B4158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1E439D3D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C56409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A9BA8C1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0A5B4C6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01506C4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1B16A30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271D8" w:rsidRPr="00A61F35" w14:paraId="7EC4D84F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10856B5" w14:textId="77777777" w:rsidR="007271D8" w:rsidRPr="00D3781F" w:rsidRDefault="007271D8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F31B45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46A04C7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246108D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4F5A4ED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271D8" w:rsidRPr="00A61F35" w14:paraId="560B3FA4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3269E63" w14:textId="77777777" w:rsidR="007271D8" w:rsidRPr="00D3781F" w:rsidRDefault="007271D8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B9731FA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2652C58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E6314B9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A1EAE24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655C6527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2F3F2EC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3BAFF56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7E2312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B856841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7FD8ECF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09F5757B" w14:textId="77777777" w:rsidTr="00D37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A16DB9" w14:textId="77777777" w:rsidR="00626B76" w:rsidRPr="00D3781F" w:rsidRDefault="00626B76" w:rsidP="00D3781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5FFB22E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4076E9CF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2CF487A3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C043F19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6B76" w:rsidRPr="00A61F35" w14:paraId="321F5503" w14:textId="77777777" w:rsidTr="00D378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8A8A988" w14:textId="77777777" w:rsidR="00626B76" w:rsidRPr="00D3781F" w:rsidRDefault="00626B76" w:rsidP="00D3781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center"/>
          </w:tcPr>
          <w:p w14:paraId="697C8292" w14:textId="4F07DA33" w:rsidR="00626B76" w:rsidRPr="00CC3B40" w:rsidRDefault="00711BC4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100%</w:t>
            </w:r>
          </w:p>
        </w:tc>
        <w:tc>
          <w:tcPr>
            <w:tcW w:w="1737" w:type="dxa"/>
            <w:noWrap/>
            <w:vAlign w:val="center"/>
          </w:tcPr>
          <w:p w14:paraId="68AA15C5" w14:textId="262E1104" w:rsidR="00626B76" w:rsidRPr="00CC3B40" w:rsidRDefault="00711BC4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36" w:type="dxa"/>
            <w:noWrap/>
          </w:tcPr>
          <w:p w14:paraId="601214A2" w14:textId="77777777" w:rsidR="00626B76" w:rsidRPr="00A61F35" w:rsidRDefault="00626B76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30AE8489" w14:textId="77777777" w:rsidR="00626B76" w:rsidRPr="00A61F35" w:rsidRDefault="00626B76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70D1460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BD3A13C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E591911" w14:textId="56AE282E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2484978" w14:textId="77777777" w:rsidR="007271D8" w:rsidRDefault="007271D8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B237372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A10C73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0B65023" w14:textId="5F706598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5F64F5B" w14:textId="77777777" w:rsidR="007271D8" w:rsidRDefault="007271D8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D2CFE12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21BCA97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F37B25B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6C2536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806A16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16B10CF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370C2F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7F481FC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A2B448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8F0369E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83E2610" w14:textId="77777777" w:rsidR="00626B76" w:rsidRPr="00626B76" w:rsidRDefault="00626B76" w:rsidP="00626B76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>
        <w:rPr>
          <w:color w:val="4F81BD" w:themeColor="accent1"/>
        </w:rPr>
        <w:lastRenderedPageBreak/>
        <w:t>EQUIDUCT:</w:t>
      </w:r>
      <w:r w:rsidRPr="00626B76">
        <w:rPr>
          <w:color w:val="4F81BD" w:themeColor="accent1"/>
        </w:rPr>
        <w:t xml:space="preserve"> OPERAZIONI ESEGUITE CONTO TERZI</w:t>
      </w:r>
      <w:r w:rsidR="006D3165">
        <w:rPr>
          <w:color w:val="4F81BD" w:themeColor="accent1"/>
        </w:rPr>
        <w:t xml:space="preserve"> SU AZIONI ITALIANE</w:t>
      </w:r>
    </w:p>
    <w:p w14:paraId="2346FEF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A635A4" w:rsidRPr="00A61F35" w14:paraId="0B8C43FC" w14:textId="77777777" w:rsidTr="007C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noWrap/>
            <w:vAlign w:val="center"/>
            <w:hideMark/>
          </w:tcPr>
          <w:p w14:paraId="75B02AAF" w14:textId="77777777" w:rsidR="00A635A4" w:rsidRPr="00A61F35" w:rsidRDefault="00A635A4" w:rsidP="00A635A4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A61F35">
              <w:rPr>
                <w:sz w:val="20"/>
                <w:szCs w:val="20"/>
              </w:rPr>
              <w:t>SOCIETA'</w:t>
            </w:r>
          </w:p>
        </w:tc>
        <w:tc>
          <w:tcPr>
            <w:tcW w:w="1736" w:type="dxa"/>
            <w:noWrap/>
            <w:vAlign w:val="center"/>
            <w:hideMark/>
          </w:tcPr>
          <w:p w14:paraId="02627D6E" w14:textId="49380D60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2018</w:t>
            </w:r>
          </w:p>
        </w:tc>
        <w:tc>
          <w:tcPr>
            <w:tcW w:w="1737" w:type="dxa"/>
            <w:noWrap/>
            <w:vAlign w:val="center"/>
            <w:hideMark/>
          </w:tcPr>
          <w:p w14:paraId="17729033" w14:textId="1344FFFD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2017</w:t>
            </w:r>
          </w:p>
        </w:tc>
        <w:tc>
          <w:tcPr>
            <w:tcW w:w="1736" w:type="dxa"/>
            <w:noWrap/>
            <w:vAlign w:val="center"/>
            <w:hideMark/>
          </w:tcPr>
          <w:p w14:paraId="2112A097" w14:textId="52CE810A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Variazione</w:t>
            </w:r>
          </w:p>
        </w:tc>
        <w:tc>
          <w:tcPr>
            <w:tcW w:w="1737" w:type="dxa"/>
            <w:noWrap/>
            <w:hideMark/>
          </w:tcPr>
          <w:p w14:paraId="4BD9CFE0" w14:textId="77777777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8EC">
              <w:rPr>
                <w:sz w:val="20"/>
                <w:szCs w:val="20"/>
              </w:rPr>
              <w:t>Rank</w:t>
            </w:r>
          </w:p>
          <w:p w14:paraId="4F79B7C8" w14:textId="7E089C56" w:rsidR="00A635A4" w:rsidRPr="00AF18EC" w:rsidRDefault="00A635A4" w:rsidP="00A635A4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SEM. 2</w:t>
            </w:r>
            <w:r w:rsidRPr="00AF18E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</w:p>
        </w:tc>
      </w:tr>
      <w:tr w:rsidR="00F86FA6" w:rsidRPr="00A61F35" w14:paraId="332D7608" w14:textId="77777777" w:rsidTr="00F86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F18C33C" w14:textId="52487474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Banca Aletti</w:t>
            </w:r>
          </w:p>
        </w:tc>
        <w:tc>
          <w:tcPr>
            <w:tcW w:w="1736" w:type="dxa"/>
            <w:noWrap/>
            <w:vAlign w:val="center"/>
          </w:tcPr>
          <w:p w14:paraId="1406A07A" w14:textId="40A87ABB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91,95%</w:t>
            </w:r>
          </w:p>
        </w:tc>
        <w:tc>
          <w:tcPr>
            <w:tcW w:w="1737" w:type="dxa"/>
            <w:noWrap/>
            <w:vAlign w:val="center"/>
          </w:tcPr>
          <w:p w14:paraId="5D472D54" w14:textId="1A7923B0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81,18%</w:t>
            </w:r>
          </w:p>
        </w:tc>
        <w:tc>
          <w:tcPr>
            <w:tcW w:w="1736" w:type="dxa"/>
            <w:noWrap/>
            <w:vAlign w:val="center"/>
          </w:tcPr>
          <w:p w14:paraId="0EA2D486" w14:textId="345AE2EA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10,77%</w:t>
            </w:r>
          </w:p>
        </w:tc>
        <w:tc>
          <w:tcPr>
            <w:tcW w:w="1737" w:type="dxa"/>
            <w:noWrap/>
            <w:vAlign w:val="center"/>
          </w:tcPr>
          <w:p w14:paraId="17BFC677" w14:textId="1DC00BE4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86FA6" w:rsidRPr="00A61F35" w14:paraId="3004EE88" w14:textId="77777777" w:rsidTr="00F86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215F096" w14:textId="6B94FE58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Banca Akros</w:t>
            </w:r>
          </w:p>
        </w:tc>
        <w:tc>
          <w:tcPr>
            <w:tcW w:w="1736" w:type="dxa"/>
            <w:noWrap/>
            <w:vAlign w:val="center"/>
          </w:tcPr>
          <w:p w14:paraId="4EBBA8F8" w14:textId="4DEE71F9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4,13%</w:t>
            </w:r>
          </w:p>
        </w:tc>
        <w:tc>
          <w:tcPr>
            <w:tcW w:w="1737" w:type="dxa"/>
            <w:noWrap/>
            <w:vAlign w:val="center"/>
          </w:tcPr>
          <w:p w14:paraId="104E2350" w14:textId="4F974EF9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13,20%</w:t>
            </w:r>
          </w:p>
        </w:tc>
        <w:tc>
          <w:tcPr>
            <w:tcW w:w="1736" w:type="dxa"/>
            <w:noWrap/>
            <w:vAlign w:val="center"/>
          </w:tcPr>
          <w:p w14:paraId="20AD7926" w14:textId="7ABD8769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-9,07%</w:t>
            </w:r>
          </w:p>
        </w:tc>
        <w:tc>
          <w:tcPr>
            <w:tcW w:w="1737" w:type="dxa"/>
            <w:noWrap/>
            <w:vAlign w:val="center"/>
          </w:tcPr>
          <w:p w14:paraId="3A0D6C6A" w14:textId="5400C8FF" w:rsidR="00F86FA6" w:rsidRPr="00F86FA6" w:rsidRDefault="00F86FA6" w:rsidP="00F86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86FA6" w:rsidRPr="00A61F35" w14:paraId="5CB644C7" w14:textId="77777777" w:rsidTr="00F86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83FB0F2" w14:textId="3D2BB03C" w:rsidR="00F86FA6" w:rsidRPr="00F86FA6" w:rsidRDefault="00F86FA6" w:rsidP="00F86FA6">
            <w:pPr>
              <w:rPr>
                <w:sz w:val="20"/>
                <w:szCs w:val="20"/>
              </w:rPr>
            </w:pPr>
            <w:r w:rsidRPr="00F86FA6">
              <w:rPr>
                <w:sz w:val="20"/>
                <w:szCs w:val="20"/>
              </w:rPr>
              <w:t>Merrill Lynch</w:t>
            </w:r>
          </w:p>
        </w:tc>
        <w:tc>
          <w:tcPr>
            <w:tcW w:w="1736" w:type="dxa"/>
            <w:noWrap/>
            <w:vAlign w:val="center"/>
          </w:tcPr>
          <w:p w14:paraId="4E741013" w14:textId="5014C038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3,92%</w:t>
            </w:r>
          </w:p>
        </w:tc>
        <w:tc>
          <w:tcPr>
            <w:tcW w:w="1737" w:type="dxa"/>
            <w:noWrap/>
            <w:vAlign w:val="center"/>
          </w:tcPr>
          <w:p w14:paraId="559992C6" w14:textId="471EF6B1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5,61%</w:t>
            </w:r>
          </w:p>
        </w:tc>
        <w:tc>
          <w:tcPr>
            <w:tcW w:w="1736" w:type="dxa"/>
            <w:noWrap/>
            <w:vAlign w:val="center"/>
          </w:tcPr>
          <w:p w14:paraId="7FA0A904" w14:textId="09EAAFAF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-1,70%</w:t>
            </w:r>
          </w:p>
        </w:tc>
        <w:tc>
          <w:tcPr>
            <w:tcW w:w="1737" w:type="dxa"/>
            <w:noWrap/>
            <w:vAlign w:val="center"/>
          </w:tcPr>
          <w:p w14:paraId="5180FEA8" w14:textId="0B6275B7" w:rsidR="00F86FA6" w:rsidRPr="00F86FA6" w:rsidRDefault="00F86FA6" w:rsidP="00F86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86FA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26B76" w:rsidRPr="00A61F35" w14:paraId="0F328937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577966A6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763DEC5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D661E0E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19BEDE7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602A9A2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4E262DCA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0C6C2E6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2FA2B6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281D99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A85358C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63FE79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4584B319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9B78350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035613E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AE03E73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7C87ABA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118F53B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6529FCAB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ED797AF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FE2C0A1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904D933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A0D44FC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A1C27A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16C5295C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6CF2582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3DEA998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01CFCFE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3226EC5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B0054E2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19E48C7A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D07E4C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D89F536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090FD05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54791F1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B69E53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77FD1F0A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FEDF23E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6733122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C309B86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FCB4A08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4E3F364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271D8" w:rsidRPr="00A61F35" w14:paraId="392B118C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4624C12" w14:textId="77777777" w:rsidR="007271D8" w:rsidRPr="00A61F35" w:rsidRDefault="007271D8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A0D472D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A704DC2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163DF19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F7290D6" w14:textId="77777777" w:rsidR="007271D8" w:rsidRPr="00A61F35" w:rsidRDefault="007271D8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271D8" w:rsidRPr="00A61F35" w14:paraId="42088D8E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431C338" w14:textId="77777777" w:rsidR="007271D8" w:rsidRPr="00A61F35" w:rsidRDefault="007271D8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41AF498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9261601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6526F356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2521551" w14:textId="77777777" w:rsidR="007271D8" w:rsidRPr="00A61F35" w:rsidRDefault="007271D8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4F33C065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321FCEA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9F09592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DA6D67D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47F21B8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C3D8568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49BEC74F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0F68C5D3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179EF0B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DD44618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3920366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2399437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35B60E59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6F104AE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74D5F0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E4364E3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A822E09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F2CD361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66CD0D00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24514B91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CCCE58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14E98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E50890F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2A6DF30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23FB1A4C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378ADA9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27AB257B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BC9A78A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322D3A64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C25DF7B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011CE299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732C9A51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12904EC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6DAE8FFF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CD727AA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51992AD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3D9DBD5F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C2DC2B3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129332EF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3415BAF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40B25BCA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157827DB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045B249F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776C3EB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247097A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0A4377DF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95A64BA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BD70EAE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17EED683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3798A188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7579B9F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9E03795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9C13CE7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554A215D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21D58E9E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40A81E61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0CA25153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4A1687B6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</w:tcPr>
          <w:p w14:paraId="5D61318C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center"/>
          </w:tcPr>
          <w:p w14:paraId="74B6BF4B" w14:textId="77777777" w:rsidR="00626B76" w:rsidRPr="00A61F35" w:rsidRDefault="00626B76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26B76" w:rsidRPr="00A61F35" w14:paraId="66E7C19F" w14:textId="77777777" w:rsidTr="00E6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18CD0C4E" w14:textId="77777777" w:rsidR="00626B76" w:rsidRPr="00A61F35" w:rsidRDefault="00626B76" w:rsidP="00E666F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0D5DDC10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64D00F7A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</w:tcPr>
          <w:p w14:paraId="1CEEA7F8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0AAE971C" w14:textId="77777777" w:rsidR="00626B76" w:rsidRPr="00A61F35" w:rsidRDefault="00626B76" w:rsidP="007C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6B76" w:rsidRPr="00A61F35" w14:paraId="23477A77" w14:textId="77777777" w:rsidTr="00E66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vAlign w:val="center"/>
          </w:tcPr>
          <w:p w14:paraId="63FBD04B" w14:textId="77777777" w:rsidR="00626B76" w:rsidRPr="00A61F35" w:rsidRDefault="00626B76" w:rsidP="00E666F5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61F35">
              <w:rPr>
                <w:sz w:val="20"/>
                <w:szCs w:val="20"/>
              </w:rPr>
              <w:t>ASSOSIM</w:t>
            </w:r>
          </w:p>
        </w:tc>
        <w:tc>
          <w:tcPr>
            <w:tcW w:w="1736" w:type="dxa"/>
            <w:noWrap/>
            <w:vAlign w:val="center"/>
          </w:tcPr>
          <w:p w14:paraId="4E72BDCA" w14:textId="6ECCEB57" w:rsidR="00626B76" w:rsidRPr="00A61F35" w:rsidRDefault="0011011B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7" w:type="dxa"/>
            <w:noWrap/>
            <w:vAlign w:val="center"/>
          </w:tcPr>
          <w:p w14:paraId="22E7C17B" w14:textId="6F280C61" w:rsidR="00626B76" w:rsidRPr="00A61F35" w:rsidRDefault="0011011B" w:rsidP="007C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36" w:type="dxa"/>
            <w:noWrap/>
          </w:tcPr>
          <w:p w14:paraId="2FF65005" w14:textId="77777777" w:rsidR="00626B76" w:rsidRPr="00A61F35" w:rsidRDefault="00626B76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14:paraId="17689C79" w14:textId="77777777" w:rsidR="00626B76" w:rsidRPr="00A61F35" w:rsidRDefault="00626B76" w:rsidP="007C5CBC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831FD07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0C4A83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37557EA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7BA6602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4E809F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4D349DF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8C5B8D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450FF3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25C15DB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1BF5ED4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5A5D6FD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63577EF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3C9B9C9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CE9471D" w14:textId="3B321694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B98F0A1" w14:textId="21BE3D3C" w:rsidR="007271D8" w:rsidRDefault="007271D8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123E442" w14:textId="77777777" w:rsidR="00612D3E" w:rsidRDefault="00612D3E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D9A5FC3" w14:textId="77777777" w:rsidR="002A7823" w:rsidRDefault="002A7823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658953C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F61C6A9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50F0D26" w14:textId="77777777" w:rsidR="002A7823" w:rsidRDefault="002A7823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D7836C9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7DA778A" w14:textId="77777777" w:rsidR="00626B76" w:rsidRPr="00AF18EC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328BDA8" w14:textId="77777777" w:rsidR="00626B76" w:rsidRPr="00AF18EC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D00854F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8071925" w14:textId="77777777" w:rsidR="00EE6678" w:rsidRPr="00AF18EC" w:rsidRDefault="00EE6678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35C6B12" w14:textId="77777777" w:rsidR="00626B76" w:rsidRPr="00AF18EC" w:rsidRDefault="00626B76" w:rsidP="00626B76">
      <w:pPr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AF18EC">
        <w:rPr>
          <w:b/>
          <w:bCs/>
          <w:color w:val="4F81BD" w:themeColor="accent1"/>
          <w:sz w:val="36"/>
          <w:szCs w:val="36"/>
        </w:rPr>
        <w:t xml:space="preserve">ALLEGATO </w:t>
      </w:r>
      <w:r>
        <w:rPr>
          <w:b/>
          <w:bCs/>
          <w:color w:val="4F81BD" w:themeColor="accent1"/>
          <w:sz w:val="36"/>
          <w:szCs w:val="36"/>
        </w:rPr>
        <w:t>5</w:t>
      </w:r>
    </w:p>
    <w:p w14:paraId="7B846814" w14:textId="77777777" w:rsidR="00626B76" w:rsidRPr="00AF18EC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199BF9A" w14:textId="08596714" w:rsidR="00626B76" w:rsidRPr="00626B76" w:rsidRDefault="00626B76" w:rsidP="00626B76">
      <w:pPr>
        <w:pStyle w:val="Paragrafoelenco"/>
        <w:tabs>
          <w:tab w:val="left" w:pos="2340"/>
        </w:tabs>
        <w:jc w:val="center"/>
        <w:rPr>
          <w:b/>
          <w:bCs/>
          <w:color w:val="4F81BD" w:themeColor="accent1"/>
          <w:sz w:val="36"/>
          <w:szCs w:val="36"/>
        </w:rPr>
      </w:pPr>
      <w:r w:rsidRPr="00626B76">
        <w:rPr>
          <w:b/>
          <w:bCs/>
          <w:color w:val="4F81BD" w:themeColor="accent1"/>
          <w:sz w:val="36"/>
          <w:szCs w:val="36"/>
        </w:rPr>
        <w:t xml:space="preserve">DATI INTERNALIZZATORI </w:t>
      </w:r>
      <w:r w:rsidR="00366245">
        <w:rPr>
          <w:b/>
          <w:bCs/>
          <w:color w:val="4F81BD" w:themeColor="accent1"/>
          <w:sz w:val="36"/>
          <w:szCs w:val="36"/>
        </w:rPr>
        <w:t>SISTEMATICI</w:t>
      </w:r>
    </w:p>
    <w:p w14:paraId="225845FF" w14:textId="77777777" w:rsidR="00626B76" w:rsidRPr="00B25DBB" w:rsidRDefault="00626B76" w:rsidP="00626B76">
      <w:pPr>
        <w:pStyle w:val="Paragrafoelenco"/>
        <w:numPr>
          <w:ilvl w:val="0"/>
          <w:numId w:val="2"/>
        </w:numPr>
        <w:tabs>
          <w:tab w:val="left" w:pos="2340"/>
        </w:tabs>
        <w:jc w:val="both"/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36"/>
          <w:szCs w:val="36"/>
        </w:rPr>
        <w:t>BANCA AKROS</w:t>
      </w:r>
    </w:p>
    <w:p w14:paraId="27C1BA54" w14:textId="77777777" w:rsidR="00626B76" w:rsidRPr="00B25DBB" w:rsidRDefault="00626B76" w:rsidP="00626B76">
      <w:pPr>
        <w:pStyle w:val="Paragrafoelenco"/>
        <w:numPr>
          <w:ilvl w:val="0"/>
          <w:numId w:val="2"/>
        </w:numPr>
        <w:tabs>
          <w:tab w:val="left" w:pos="2340"/>
        </w:tabs>
        <w:jc w:val="both"/>
        <w:rPr>
          <w:b/>
          <w:bCs/>
          <w:color w:val="4F81BD" w:themeColor="accent1"/>
          <w:sz w:val="36"/>
          <w:szCs w:val="36"/>
          <w:lang w:val="en-US"/>
        </w:rPr>
      </w:pPr>
      <w:r>
        <w:rPr>
          <w:b/>
          <w:bCs/>
          <w:color w:val="4F81BD" w:themeColor="accent1"/>
          <w:sz w:val="36"/>
          <w:szCs w:val="36"/>
          <w:lang w:val="en-US"/>
        </w:rPr>
        <w:t>FINECOBANK</w:t>
      </w:r>
    </w:p>
    <w:p w14:paraId="4E15FCA9" w14:textId="77777777" w:rsidR="00626B76" w:rsidRDefault="00626B76" w:rsidP="00626B76">
      <w:pPr>
        <w:pStyle w:val="Paragrafoelenco"/>
        <w:numPr>
          <w:ilvl w:val="0"/>
          <w:numId w:val="2"/>
        </w:numPr>
        <w:tabs>
          <w:tab w:val="left" w:pos="2340"/>
        </w:tabs>
        <w:jc w:val="both"/>
        <w:rPr>
          <w:b/>
          <w:bCs/>
          <w:color w:val="4F81BD" w:themeColor="accent1"/>
          <w:sz w:val="36"/>
          <w:szCs w:val="36"/>
          <w:lang w:val="en-US"/>
        </w:rPr>
      </w:pPr>
      <w:r>
        <w:rPr>
          <w:b/>
          <w:bCs/>
          <w:color w:val="4F81BD" w:themeColor="accent1"/>
          <w:sz w:val="36"/>
          <w:szCs w:val="36"/>
          <w:lang w:val="en-US"/>
        </w:rPr>
        <w:t>INVEST BANCA</w:t>
      </w:r>
    </w:p>
    <w:p w14:paraId="3C8AB88F" w14:textId="77777777" w:rsidR="00626B76" w:rsidRPr="00B25DBB" w:rsidRDefault="00E770D6" w:rsidP="00E770D6">
      <w:pPr>
        <w:pStyle w:val="Paragrafoelenco"/>
        <w:numPr>
          <w:ilvl w:val="0"/>
          <w:numId w:val="2"/>
        </w:numPr>
        <w:tabs>
          <w:tab w:val="left" w:pos="2340"/>
        </w:tabs>
        <w:jc w:val="both"/>
        <w:rPr>
          <w:b/>
          <w:bCs/>
          <w:color w:val="4F81BD" w:themeColor="accent1"/>
          <w:sz w:val="36"/>
          <w:szCs w:val="36"/>
          <w:lang w:val="en-US"/>
        </w:rPr>
      </w:pPr>
      <w:r w:rsidRPr="00E770D6">
        <w:rPr>
          <w:b/>
          <w:bCs/>
          <w:color w:val="4F81BD" w:themeColor="accent1"/>
          <w:sz w:val="36"/>
          <w:szCs w:val="36"/>
          <w:lang w:val="en-US"/>
        </w:rPr>
        <w:t>MPS CAPITAL SERVICES</w:t>
      </w:r>
    </w:p>
    <w:p w14:paraId="30D725A2" w14:textId="03DC7824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BF9BABF" w14:textId="767DF7AB" w:rsidR="003138A4" w:rsidRDefault="003138A4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993437F" w14:textId="01913A07" w:rsidR="003138A4" w:rsidRDefault="003138A4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B6BDEAF" w14:textId="344AA5A2" w:rsidR="003138A4" w:rsidRDefault="003138A4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2EC116C9" w14:textId="77777777" w:rsidR="003138A4" w:rsidRPr="00AF18EC" w:rsidRDefault="003138A4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8CB8FF8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45EE7F2" w14:textId="77777777" w:rsidR="009E32B8" w:rsidRDefault="009E32B8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7F51A5D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1012764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04511DB8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6EDCF05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C2BCEFA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7B036B2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E2F1764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FA1312B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75E8104A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62C5E6A2" w14:textId="77777777" w:rsidR="00102F9B" w:rsidRDefault="00102F9B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D2DC983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0989FAD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A3277B4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3D2715A6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F76524E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19403B60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50329ED3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103F366" w14:textId="77777777" w:rsidR="00626B76" w:rsidRDefault="00626B76" w:rsidP="00626B76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</w:pPr>
    </w:p>
    <w:p w14:paraId="4F9D555D" w14:textId="77777777" w:rsidR="00626B76" w:rsidRDefault="00626B76" w:rsidP="00626B76">
      <w:pPr>
        <w:tabs>
          <w:tab w:val="left" w:pos="2340"/>
        </w:tabs>
      </w:pPr>
    </w:p>
    <w:p w14:paraId="61E0AB4C" w14:textId="77777777" w:rsidR="00626B76" w:rsidRDefault="00626B76" w:rsidP="00EE6678">
      <w:pPr>
        <w:tabs>
          <w:tab w:val="left" w:pos="2340"/>
        </w:tabs>
        <w:jc w:val="both"/>
      </w:pPr>
      <w:r w:rsidRPr="00CF0EF8">
        <w:t xml:space="preserve">Nota metodologica: </w:t>
      </w:r>
      <w:r>
        <w:t xml:space="preserve">Le tabelle sono elaborate sulla base dei controvalori e del numero di operazioni su </w:t>
      </w:r>
      <w:r w:rsidRPr="00810FF6">
        <w:t>Obbligazioni quotat</w:t>
      </w:r>
      <w:r>
        <w:t xml:space="preserve">e, </w:t>
      </w:r>
      <w:r w:rsidRPr="00810FF6">
        <w:t>Obbligazioni non quotate</w:t>
      </w:r>
      <w:r>
        <w:t xml:space="preserve">, </w:t>
      </w:r>
      <w:r w:rsidRPr="00810FF6">
        <w:t>Titoli di Stato</w:t>
      </w:r>
      <w:r>
        <w:t xml:space="preserve">, </w:t>
      </w:r>
      <w:r w:rsidRPr="00810FF6">
        <w:t>Strumenti Derivati Cartolarizzati</w:t>
      </w:r>
      <w:r>
        <w:t xml:space="preserve"> e </w:t>
      </w:r>
      <w:r w:rsidRPr="00810FF6">
        <w:t>Azioni</w:t>
      </w:r>
      <w:r>
        <w:t xml:space="preserve"> che gli</w:t>
      </w:r>
      <w:r w:rsidRPr="00CF0EF8">
        <w:t xml:space="preserve"> intermediari Associati </w:t>
      </w:r>
      <w:r>
        <w:t>hanno internalizzato</w:t>
      </w:r>
      <w:r w:rsidRPr="00CF0EF8">
        <w:t>.</w:t>
      </w:r>
    </w:p>
    <w:p w14:paraId="03186CA3" w14:textId="77777777" w:rsidR="00626B76" w:rsidRPr="00626B76" w:rsidRDefault="00626B76" w:rsidP="00626B76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 w:rsidRPr="00626B76">
        <w:rPr>
          <w:color w:val="4F81BD" w:themeColor="accent1"/>
        </w:rPr>
        <w:lastRenderedPageBreak/>
        <w:t xml:space="preserve">CONTROVALORI INTERNALIZZATI </w:t>
      </w:r>
    </w:p>
    <w:p w14:paraId="5B0C5D8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"/>
        <w:tblW w:w="9854" w:type="dxa"/>
        <w:tblLook w:val="04A0" w:firstRow="1" w:lastRow="0" w:firstColumn="1" w:lastColumn="0" w:noHBand="0" w:noVBand="1"/>
      </w:tblPr>
      <w:tblGrid>
        <w:gridCol w:w="2093"/>
        <w:gridCol w:w="1827"/>
        <w:gridCol w:w="1381"/>
        <w:gridCol w:w="1515"/>
        <w:gridCol w:w="1409"/>
        <w:gridCol w:w="1629"/>
      </w:tblGrid>
      <w:tr w:rsidR="00626B76" w:rsidRPr="00A61F35" w14:paraId="605D115B" w14:textId="77777777" w:rsidTr="00E77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  <w:noWrap/>
            <w:vAlign w:val="center"/>
            <w:hideMark/>
          </w:tcPr>
          <w:p w14:paraId="046C628E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SOCIETA'</w:t>
            </w:r>
          </w:p>
        </w:tc>
        <w:tc>
          <w:tcPr>
            <w:tcW w:w="1827" w:type="dxa"/>
            <w:noWrap/>
            <w:vAlign w:val="center"/>
            <w:hideMark/>
          </w:tcPr>
          <w:p w14:paraId="4D0DA4A5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Obbligazioni quotate</w:t>
            </w:r>
          </w:p>
        </w:tc>
        <w:tc>
          <w:tcPr>
            <w:tcW w:w="1381" w:type="dxa"/>
            <w:noWrap/>
            <w:vAlign w:val="center"/>
            <w:hideMark/>
          </w:tcPr>
          <w:p w14:paraId="1F723D96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Obbligazioni non quotate</w:t>
            </w:r>
          </w:p>
        </w:tc>
        <w:tc>
          <w:tcPr>
            <w:tcW w:w="1515" w:type="dxa"/>
            <w:noWrap/>
            <w:vAlign w:val="center"/>
            <w:hideMark/>
          </w:tcPr>
          <w:p w14:paraId="7CB16FB1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Titoli di Stato</w:t>
            </w:r>
          </w:p>
        </w:tc>
        <w:tc>
          <w:tcPr>
            <w:tcW w:w="1409" w:type="dxa"/>
            <w:noWrap/>
            <w:vAlign w:val="center"/>
            <w:hideMark/>
          </w:tcPr>
          <w:p w14:paraId="3E16CF17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Strumenti Derivati Cartolarizzati</w:t>
            </w:r>
          </w:p>
        </w:tc>
        <w:tc>
          <w:tcPr>
            <w:tcW w:w="1629" w:type="dxa"/>
            <w:noWrap/>
            <w:vAlign w:val="center"/>
            <w:hideMark/>
          </w:tcPr>
          <w:p w14:paraId="0C136D84" w14:textId="77777777" w:rsidR="00626B76" w:rsidRPr="00FA216C" w:rsidRDefault="00626B76" w:rsidP="007C5CBC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16C">
              <w:rPr>
                <w:sz w:val="20"/>
                <w:szCs w:val="20"/>
              </w:rPr>
              <w:t>Azioni</w:t>
            </w:r>
          </w:p>
        </w:tc>
      </w:tr>
      <w:tr w:rsidR="008D0233" w:rsidRPr="00A61F35" w14:paraId="4DAA6AC9" w14:textId="77777777" w:rsidTr="00E77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6D6FB6EF" w14:textId="4DFD3D43" w:rsidR="008D0233" w:rsidRPr="00FA216C" w:rsidRDefault="007319F1" w:rsidP="008D0233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 Akros</w:t>
            </w:r>
          </w:p>
        </w:tc>
        <w:tc>
          <w:tcPr>
            <w:tcW w:w="1827" w:type="dxa"/>
            <w:noWrap/>
            <w:vAlign w:val="center"/>
          </w:tcPr>
          <w:p w14:paraId="71C9D7B9" w14:textId="41C80CCE" w:rsidR="008D0233" w:rsidRPr="0057065F" w:rsidRDefault="004E0AE7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2.737</w:t>
            </w:r>
            <w:r w:rsidR="0070356B">
              <w:t>.</w:t>
            </w:r>
            <w:r>
              <w:t>661</w:t>
            </w:r>
          </w:p>
        </w:tc>
        <w:tc>
          <w:tcPr>
            <w:tcW w:w="1381" w:type="dxa"/>
            <w:noWrap/>
            <w:vAlign w:val="center"/>
          </w:tcPr>
          <w:p w14:paraId="6765B96F" w14:textId="216946C3" w:rsidR="008D0233" w:rsidRPr="0057065F" w:rsidRDefault="004E0AE7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37.143.808</w:t>
            </w:r>
          </w:p>
        </w:tc>
        <w:tc>
          <w:tcPr>
            <w:tcW w:w="1515" w:type="dxa"/>
            <w:noWrap/>
            <w:vAlign w:val="center"/>
          </w:tcPr>
          <w:p w14:paraId="4487C073" w14:textId="4008013D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  <w:noWrap/>
            <w:vAlign w:val="center"/>
          </w:tcPr>
          <w:p w14:paraId="26EECF8D" w14:textId="28BEEFF3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  <w:noWrap/>
            <w:vAlign w:val="center"/>
          </w:tcPr>
          <w:p w14:paraId="329D0A8C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233" w:rsidRPr="00A61F35" w14:paraId="516C22D4" w14:textId="77777777" w:rsidTr="00E77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406B55B0" w14:textId="0448BC55" w:rsidR="008D0233" w:rsidRPr="00FA216C" w:rsidRDefault="007319F1" w:rsidP="008D0233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Finecobank</w:t>
            </w:r>
          </w:p>
        </w:tc>
        <w:tc>
          <w:tcPr>
            <w:tcW w:w="1827" w:type="dxa"/>
            <w:noWrap/>
            <w:vAlign w:val="center"/>
          </w:tcPr>
          <w:p w14:paraId="70C32650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  <w:noWrap/>
            <w:vAlign w:val="center"/>
          </w:tcPr>
          <w:p w14:paraId="09A1C20D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  <w:noWrap/>
            <w:vAlign w:val="center"/>
          </w:tcPr>
          <w:p w14:paraId="1D9E3149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  <w:noWrap/>
            <w:vAlign w:val="center"/>
          </w:tcPr>
          <w:p w14:paraId="58D578B6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noWrap/>
            <w:vAlign w:val="center"/>
          </w:tcPr>
          <w:p w14:paraId="1084CAFE" w14:textId="59F4CB89" w:rsidR="008D0233" w:rsidRPr="0057065F" w:rsidRDefault="00834422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24.955.392.817</w:t>
            </w:r>
          </w:p>
        </w:tc>
      </w:tr>
      <w:tr w:rsidR="008D0233" w:rsidRPr="00A61F35" w14:paraId="18122E28" w14:textId="77777777" w:rsidTr="00E77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3C80ED77" w14:textId="3B5F46E8" w:rsidR="008D0233" w:rsidRPr="00FA216C" w:rsidRDefault="007319F1" w:rsidP="008D0233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 Banca</w:t>
            </w:r>
          </w:p>
        </w:tc>
        <w:tc>
          <w:tcPr>
            <w:tcW w:w="1827" w:type="dxa"/>
            <w:noWrap/>
            <w:vAlign w:val="center"/>
          </w:tcPr>
          <w:p w14:paraId="3922CEE4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  <w:noWrap/>
            <w:vAlign w:val="center"/>
          </w:tcPr>
          <w:p w14:paraId="0767C072" w14:textId="47822255" w:rsidR="008D0233" w:rsidRPr="0057065F" w:rsidRDefault="003138A4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14.257.340</w:t>
            </w:r>
          </w:p>
        </w:tc>
        <w:tc>
          <w:tcPr>
            <w:tcW w:w="1515" w:type="dxa"/>
            <w:noWrap/>
            <w:vAlign w:val="center"/>
          </w:tcPr>
          <w:p w14:paraId="324E910F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  <w:noWrap/>
            <w:vAlign w:val="center"/>
          </w:tcPr>
          <w:p w14:paraId="0B1FB668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  <w:noWrap/>
            <w:vAlign w:val="center"/>
          </w:tcPr>
          <w:p w14:paraId="5AA571F8" w14:textId="04D86A66" w:rsidR="008D0233" w:rsidRPr="0057065F" w:rsidRDefault="003138A4" w:rsidP="008D0233">
            <w:pPr>
              <w:tabs>
                <w:tab w:val="left" w:pos="2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113.493</w:t>
            </w:r>
          </w:p>
        </w:tc>
      </w:tr>
      <w:tr w:rsidR="008D0233" w:rsidRPr="00A61F35" w14:paraId="7F06C205" w14:textId="77777777" w:rsidTr="00E77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0C818010" w14:textId="154CF62E" w:rsidR="008D0233" w:rsidRPr="007319F1" w:rsidRDefault="007319F1" w:rsidP="008D023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319F1">
              <w:rPr>
                <w:sz w:val="20"/>
                <w:szCs w:val="20"/>
              </w:rPr>
              <w:t>MPS Capital Services</w:t>
            </w:r>
          </w:p>
        </w:tc>
        <w:tc>
          <w:tcPr>
            <w:tcW w:w="1827" w:type="dxa"/>
            <w:noWrap/>
            <w:vAlign w:val="center"/>
          </w:tcPr>
          <w:p w14:paraId="5F1A9CE2" w14:textId="44661F3A" w:rsidR="008D0233" w:rsidRPr="0057065F" w:rsidRDefault="007319F1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279.750.990</w:t>
            </w:r>
          </w:p>
        </w:tc>
        <w:tc>
          <w:tcPr>
            <w:tcW w:w="1381" w:type="dxa"/>
            <w:noWrap/>
            <w:vAlign w:val="center"/>
          </w:tcPr>
          <w:p w14:paraId="1B017759" w14:textId="740C9E16" w:rsidR="008D0233" w:rsidRPr="0057065F" w:rsidRDefault="007319F1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15.667.090</w:t>
            </w:r>
          </w:p>
        </w:tc>
        <w:tc>
          <w:tcPr>
            <w:tcW w:w="1515" w:type="dxa"/>
            <w:noWrap/>
            <w:vAlign w:val="center"/>
          </w:tcPr>
          <w:p w14:paraId="224C64BB" w14:textId="12438CD4" w:rsidR="008D0233" w:rsidRPr="0057065F" w:rsidRDefault="007319F1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667.340.020</w:t>
            </w:r>
          </w:p>
        </w:tc>
        <w:tc>
          <w:tcPr>
            <w:tcW w:w="1409" w:type="dxa"/>
            <w:noWrap/>
            <w:vAlign w:val="center"/>
          </w:tcPr>
          <w:p w14:paraId="67C113C7" w14:textId="2534FB4F" w:rsidR="008D0233" w:rsidRPr="0057065F" w:rsidRDefault="007319F1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44.000</w:t>
            </w:r>
          </w:p>
        </w:tc>
        <w:tc>
          <w:tcPr>
            <w:tcW w:w="1629" w:type="dxa"/>
            <w:noWrap/>
            <w:vAlign w:val="center"/>
          </w:tcPr>
          <w:p w14:paraId="75209BD2" w14:textId="77777777" w:rsidR="008D0233" w:rsidRPr="0057065F" w:rsidRDefault="008D0233" w:rsidP="008D0233">
            <w:pPr>
              <w:tabs>
                <w:tab w:val="left" w:pos="2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4E280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E62C299" w14:textId="77777777" w:rsidR="00626B76" w:rsidRPr="00626B76" w:rsidRDefault="00626B76" w:rsidP="00626B76">
      <w:pPr>
        <w:numPr>
          <w:ilvl w:val="0"/>
          <w:numId w:val="3"/>
        </w:numPr>
        <w:tabs>
          <w:tab w:val="left" w:pos="2340"/>
        </w:tabs>
        <w:contextualSpacing/>
        <w:rPr>
          <w:color w:val="4F81BD" w:themeColor="accent1"/>
        </w:rPr>
      </w:pPr>
      <w:r>
        <w:rPr>
          <w:color w:val="4F81BD" w:themeColor="accent1"/>
        </w:rPr>
        <w:t>OPERAZIONI</w:t>
      </w:r>
      <w:r w:rsidRPr="00626B76">
        <w:rPr>
          <w:color w:val="4F81BD" w:themeColor="accent1"/>
        </w:rPr>
        <w:t xml:space="preserve"> INTERNALIZZAT</w:t>
      </w:r>
      <w:r>
        <w:rPr>
          <w:color w:val="4F81BD" w:themeColor="accent1"/>
        </w:rPr>
        <w:t>E</w:t>
      </w:r>
      <w:r w:rsidRPr="00626B76">
        <w:rPr>
          <w:color w:val="4F81BD" w:themeColor="accent1"/>
        </w:rPr>
        <w:t xml:space="preserve"> </w:t>
      </w:r>
    </w:p>
    <w:p w14:paraId="5DD065E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tbl>
      <w:tblPr>
        <w:tblStyle w:val="Sfondomedio2-Colore14"/>
        <w:tblW w:w="9839" w:type="dxa"/>
        <w:tblLook w:val="04A0" w:firstRow="1" w:lastRow="0" w:firstColumn="1" w:lastColumn="0" w:noHBand="0" w:noVBand="1"/>
      </w:tblPr>
      <w:tblGrid>
        <w:gridCol w:w="2093"/>
        <w:gridCol w:w="1813"/>
        <w:gridCol w:w="1354"/>
        <w:gridCol w:w="1521"/>
        <w:gridCol w:w="1423"/>
        <w:gridCol w:w="1635"/>
      </w:tblGrid>
      <w:tr w:rsidR="00626B76" w:rsidRPr="00626B76" w14:paraId="04C40F39" w14:textId="77777777" w:rsidTr="00FA2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  <w:noWrap/>
            <w:vAlign w:val="center"/>
            <w:hideMark/>
          </w:tcPr>
          <w:p w14:paraId="1EE27F14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SOCIETA'</w:t>
            </w:r>
          </w:p>
        </w:tc>
        <w:tc>
          <w:tcPr>
            <w:tcW w:w="1813" w:type="dxa"/>
            <w:noWrap/>
            <w:vAlign w:val="center"/>
            <w:hideMark/>
          </w:tcPr>
          <w:p w14:paraId="7231D72A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Obbligazioni quotate</w:t>
            </w:r>
          </w:p>
        </w:tc>
        <w:tc>
          <w:tcPr>
            <w:tcW w:w="1354" w:type="dxa"/>
            <w:noWrap/>
            <w:vAlign w:val="center"/>
            <w:hideMark/>
          </w:tcPr>
          <w:p w14:paraId="7D18493C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Obbligazioni non quotate</w:t>
            </w:r>
          </w:p>
        </w:tc>
        <w:tc>
          <w:tcPr>
            <w:tcW w:w="1521" w:type="dxa"/>
            <w:noWrap/>
            <w:vAlign w:val="center"/>
            <w:hideMark/>
          </w:tcPr>
          <w:p w14:paraId="27BE810E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Titoli di Stato</w:t>
            </w:r>
          </w:p>
        </w:tc>
        <w:tc>
          <w:tcPr>
            <w:tcW w:w="1423" w:type="dxa"/>
            <w:noWrap/>
            <w:vAlign w:val="center"/>
            <w:hideMark/>
          </w:tcPr>
          <w:p w14:paraId="5269AC1C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Strumenti Derivati Cartolarizzati</w:t>
            </w:r>
          </w:p>
        </w:tc>
        <w:tc>
          <w:tcPr>
            <w:tcW w:w="1635" w:type="dxa"/>
            <w:noWrap/>
            <w:vAlign w:val="center"/>
            <w:hideMark/>
          </w:tcPr>
          <w:p w14:paraId="3AFC8697" w14:textId="77777777" w:rsidR="00626B76" w:rsidRPr="00626B76" w:rsidRDefault="00626B76" w:rsidP="00626B76">
            <w:pPr>
              <w:tabs>
                <w:tab w:val="left" w:pos="23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76">
              <w:rPr>
                <w:sz w:val="20"/>
                <w:szCs w:val="20"/>
              </w:rPr>
              <w:t>Azioni</w:t>
            </w:r>
          </w:p>
        </w:tc>
      </w:tr>
      <w:tr w:rsidR="007319F1" w:rsidRPr="00626B76" w14:paraId="77659FAB" w14:textId="77777777" w:rsidTr="00FA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7088B24E" w14:textId="2CADAF9E" w:rsidR="007319F1" w:rsidRPr="00A61F35" w:rsidRDefault="007319F1" w:rsidP="007319F1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 Akros</w:t>
            </w:r>
          </w:p>
        </w:tc>
        <w:tc>
          <w:tcPr>
            <w:tcW w:w="1813" w:type="dxa"/>
            <w:noWrap/>
          </w:tcPr>
          <w:p w14:paraId="472D47CE" w14:textId="43AB38FD" w:rsidR="007319F1" w:rsidRPr="0057065F" w:rsidRDefault="004E0AE7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</w:t>
            </w:r>
          </w:p>
        </w:tc>
        <w:tc>
          <w:tcPr>
            <w:tcW w:w="1354" w:type="dxa"/>
            <w:noWrap/>
          </w:tcPr>
          <w:p w14:paraId="2F289236" w14:textId="579546E6" w:rsidR="007319F1" w:rsidRPr="0057065F" w:rsidRDefault="004E0AE7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1.409</w:t>
            </w:r>
          </w:p>
        </w:tc>
        <w:tc>
          <w:tcPr>
            <w:tcW w:w="1521" w:type="dxa"/>
            <w:noWrap/>
          </w:tcPr>
          <w:p w14:paraId="427DFC6E" w14:textId="01E4F382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3" w:type="dxa"/>
            <w:noWrap/>
          </w:tcPr>
          <w:p w14:paraId="7649E77E" w14:textId="41C6C79F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  <w:noWrap/>
          </w:tcPr>
          <w:p w14:paraId="0C42BD52" w14:textId="77777777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19F1" w:rsidRPr="00626B76" w14:paraId="7EEC316E" w14:textId="77777777" w:rsidTr="00FA21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69231729" w14:textId="42277125" w:rsidR="007319F1" w:rsidRPr="00A61F35" w:rsidRDefault="007319F1" w:rsidP="007319F1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Finecobank</w:t>
            </w:r>
          </w:p>
        </w:tc>
        <w:tc>
          <w:tcPr>
            <w:tcW w:w="1813" w:type="dxa"/>
            <w:noWrap/>
          </w:tcPr>
          <w:p w14:paraId="023C5DC9" w14:textId="5E35821F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  <w:noWrap/>
          </w:tcPr>
          <w:p w14:paraId="60E68BFC" w14:textId="0B90E709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1" w:type="dxa"/>
            <w:noWrap/>
          </w:tcPr>
          <w:p w14:paraId="07952396" w14:textId="77777777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3" w:type="dxa"/>
            <w:noWrap/>
          </w:tcPr>
          <w:p w14:paraId="7F82DE39" w14:textId="2C0530FF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  <w:noWrap/>
          </w:tcPr>
          <w:p w14:paraId="5A941B67" w14:textId="6902383A" w:rsidR="007319F1" w:rsidRPr="0057065F" w:rsidRDefault="00834422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1.645.055</w:t>
            </w:r>
          </w:p>
        </w:tc>
      </w:tr>
      <w:tr w:rsidR="007319F1" w:rsidRPr="00626B76" w14:paraId="5E5E0FEE" w14:textId="77777777" w:rsidTr="00FA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5F48810C" w14:textId="7E2C67A3" w:rsidR="007319F1" w:rsidRPr="00A61F35" w:rsidRDefault="007319F1" w:rsidP="007319F1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 Banca</w:t>
            </w:r>
          </w:p>
        </w:tc>
        <w:tc>
          <w:tcPr>
            <w:tcW w:w="1813" w:type="dxa"/>
            <w:noWrap/>
          </w:tcPr>
          <w:p w14:paraId="7B8B9C5F" w14:textId="77777777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  <w:noWrap/>
          </w:tcPr>
          <w:p w14:paraId="35FAE1BF" w14:textId="46C994A9" w:rsidR="007319F1" w:rsidRPr="0057065F" w:rsidRDefault="003138A4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964</w:t>
            </w:r>
          </w:p>
        </w:tc>
        <w:tc>
          <w:tcPr>
            <w:tcW w:w="1521" w:type="dxa"/>
            <w:noWrap/>
          </w:tcPr>
          <w:p w14:paraId="74B33254" w14:textId="77777777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3" w:type="dxa"/>
            <w:noWrap/>
          </w:tcPr>
          <w:p w14:paraId="199EA778" w14:textId="77777777" w:rsidR="007319F1" w:rsidRPr="0057065F" w:rsidRDefault="007319F1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  <w:noWrap/>
          </w:tcPr>
          <w:p w14:paraId="768B703F" w14:textId="74D2407A" w:rsidR="007319F1" w:rsidRPr="0057065F" w:rsidRDefault="003138A4" w:rsidP="00731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7319F1" w:rsidRPr="00626B76" w14:paraId="2F85AE28" w14:textId="77777777" w:rsidTr="00FA21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5995FECB" w14:textId="37C2B2EF" w:rsidR="007319F1" w:rsidRPr="00A61F35" w:rsidRDefault="007319F1" w:rsidP="007319F1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319F1">
              <w:rPr>
                <w:sz w:val="20"/>
                <w:szCs w:val="20"/>
              </w:rPr>
              <w:t>MPS Capital Services</w:t>
            </w:r>
          </w:p>
        </w:tc>
        <w:tc>
          <w:tcPr>
            <w:tcW w:w="1813" w:type="dxa"/>
            <w:noWrap/>
          </w:tcPr>
          <w:p w14:paraId="6A5C89B6" w14:textId="56A9F2F6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12.718</w:t>
            </w:r>
          </w:p>
        </w:tc>
        <w:tc>
          <w:tcPr>
            <w:tcW w:w="1354" w:type="dxa"/>
            <w:noWrap/>
          </w:tcPr>
          <w:p w14:paraId="7B1BEE65" w14:textId="14CF9118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1.151</w:t>
            </w:r>
          </w:p>
        </w:tc>
        <w:tc>
          <w:tcPr>
            <w:tcW w:w="1521" w:type="dxa"/>
            <w:noWrap/>
          </w:tcPr>
          <w:p w14:paraId="79958C61" w14:textId="7F59747D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11.443</w:t>
            </w:r>
          </w:p>
        </w:tc>
        <w:tc>
          <w:tcPr>
            <w:tcW w:w="1423" w:type="dxa"/>
            <w:noWrap/>
          </w:tcPr>
          <w:p w14:paraId="79375075" w14:textId="25D6CE3B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35" w:type="dxa"/>
            <w:noWrap/>
          </w:tcPr>
          <w:p w14:paraId="5A169602" w14:textId="77777777" w:rsidR="007319F1" w:rsidRPr="0057065F" w:rsidRDefault="007319F1" w:rsidP="0073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770FCB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0A5C1BB" w14:textId="77777777" w:rsidR="00654DC4" w:rsidRDefault="00654DC4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205D46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4B1AF4E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5F9F3F44" w14:textId="47CF1133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DD3B927" w14:textId="6E72EF06" w:rsidR="00875087" w:rsidRDefault="00875087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A489BB6" w14:textId="77777777" w:rsidR="00875087" w:rsidRDefault="00875087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B4AFE53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70BA234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45A55AB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895647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163C709E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7B91E37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03C8DC0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BADCD49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65A9541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C0AF541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B6F99BA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4369499D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939EC18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E23294F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5F4BEAD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3943B9CE" w14:textId="77777777" w:rsidR="00DF200B" w:rsidRDefault="00DF200B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63BEE32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742DF69D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</w:pPr>
    </w:p>
    <w:p w14:paraId="225AC804" w14:textId="77777777" w:rsidR="00626B76" w:rsidRDefault="00626B76" w:rsidP="00B2004F">
      <w:pPr>
        <w:tabs>
          <w:tab w:val="left" w:pos="2340"/>
        </w:tabs>
        <w:spacing w:after="0"/>
        <w:rPr>
          <w:color w:val="4F81BD" w:themeColor="accent1"/>
        </w:rPr>
        <w:sectPr w:rsidR="00626B76" w:rsidSect="00EE20F8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0FB81959" w14:textId="77777777" w:rsidR="00DF200B" w:rsidRPr="003922FD" w:rsidRDefault="00DF200B" w:rsidP="00DF200B">
      <w:pPr>
        <w:tabs>
          <w:tab w:val="left" w:pos="2340"/>
        </w:tabs>
        <w:jc w:val="center"/>
        <w:rPr>
          <w:sz w:val="32"/>
          <w:szCs w:val="32"/>
        </w:rPr>
      </w:pPr>
      <w:r w:rsidRPr="003922FD">
        <w:rPr>
          <w:b/>
          <w:bCs/>
          <w:color w:val="4F81BD" w:themeColor="accent1"/>
          <w:sz w:val="32"/>
          <w:szCs w:val="32"/>
        </w:rPr>
        <w:lastRenderedPageBreak/>
        <w:t xml:space="preserve">INTERMEDIARI NEGOZIATORI </w:t>
      </w:r>
    </w:p>
    <w:p w14:paraId="24B12148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AKROS</w:t>
      </w:r>
    </w:p>
    <w:p w14:paraId="3A56989B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ALETTI</w:t>
      </w:r>
    </w:p>
    <w:p w14:paraId="272936CB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FINNAT EURAMERICA</w:t>
      </w:r>
    </w:p>
    <w:p w14:paraId="7327E455" w14:textId="77777777" w:rsid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GENERALI</w:t>
      </w:r>
    </w:p>
    <w:p w14:paraId="5C6F81DF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>
        <w:rPr>
          <w:color w:val="4F81BD" w:themeColor="accent1"/>
        </w:rPr>
        <w:t>BANCA IMI</w:t>
      </w:r>
    </w:p>
    <w:p w14:paraId="3CD61E8E" w14:textId="77777777" w:rsid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INTERMOBILIARE</w:t>
      </w:r>
    </w:p>
    <w:p w14:paraId="7D5EFF8E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>
        <w:rPr>
          <w:color w:val="4F81BD" w:themeColor="accent1"/>
        </w:rPr>
        <w:t>BANCA LEONARDO</w:t>
      </w:r>
    </w:p>
    <w:p w14:paraId="407EDFD9" w14:textId="77777777" w:rsid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POPOLARE MILANO</w:t>
      </w:r>
    </w:p>
    <w:p w14:paraId="5E5E6C02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>
        <w:rPr>
          <w:color w:val="4F81BD" w:themeColor="accent1"/>
        </w:rPr>
        <w:t>BANCA POPOLARE VICENZA</w:t>
      </w:r>
      <w:r w:rsidRPr="003922FD">
        <w:rPr>
          <w:color w:val="4F81BD" w:themeColor="accent1"/>
        </w:rPr>
        <w:t xml:space="preserve"> </w:t>
      </w:r>
    </w:p>
    <w:p w14:paraId="6762834F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SELLA HOLDING</w:t>
      </w:r>
    </w:p>
    <w:p w14:paraId="49544DD5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BANCO DESIO-BRIANZA</w:t>
      </w:r>
    </w:p>
    <w:p w14:paraId="423ABFF1" w14:textId="77777777" w:rsidR="00DF200B" w:rsidRPr="004251B7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4251B7">
        <w:rPr>
          <w:color w:val="4F81BD" w:themeColor="accent1"/>
        </w:rPr>
        <w:t>BPER</w:t>
      </w:r>
    </w:p>
    <w:p w14:paraId="62E2590A" w14:textId="77777777" w:rsidR="00DF200B" w:rsidRPr="004251B7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4251B7">
        <w:rPr>
          <w:color w:val="4F81BD" w:themeColor="accent1"/>
        </w:rPr>
        <w:t>CITIGROUP</w:t>
      </w:r>
    </w:p>
    <w:p w14:paraId="207EC255" w14:textId="77777777" w:rsidR="00DF200B" w:rsidRPr="00BB444A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BB444A">
        <w:rPr>
          <w:color w:val="4F81BD" w:themeColor="accent1"/>
        </w:rPr>
        <w:t>CREDEM</w:t>
      </w:r>
    </w:p>
    <w:p w14:paraId="39F1E75C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 xml:space="preserve">DEUTSCHE BANK AG </w:t>
      </w:r>
    </w:p>
    <w:p w14:paraId="10457BE8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DIRECTA SIM</w:t>
      </w:r>
    </w:p>
    <w:p w14:paraId="54AF31B2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EQUITA SIM</w:t>
      </w:r>
    </w:p>
    <w:p w14:paraId="60125F44" w14:textId="77777777" w:rsidR="00DF200B" w:rsidRPr="00BB444A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BB444A">
        <w:rPr>
          <w:color w:val="4F81BD" w:themeColor="accent1"/>
        </w:rPr>
        <w:t>FINECOBANK</w:t>
      </w:r>
    </w:p>
    <w:p w14:paraId="3BDD993B" w14:textId="77777777" w:rsidR="00DF200B" w:rsidRPr="00BB444A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BB444A">
        <w:rPr>
          <w:color w:val="4F81BD" w:themeColor="accent1"/>
        </w:rPr>
        <w:t>FINSUD SIM</w:t>
      </w:r>
    </w:p>
    <w:p w14:paraId="6CE5D4F4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ICCREA BANCA</w:t>
      </w:r>
    </w:p>
    <w:p w14:paraId="2D0B07BE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INTERMONTE SIM</w:t>
      </w:r>
    </w:p>
    <w:p w14:paraId="1B34D818" w14:textId="77777777" w:rsid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INVEST BANCA</w:t>
      </w:r>
    </w:p>
    <w:p w14:paraId="5552E2EA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>
        <w:rPr>
          <w:color w:val="4F81BD" w:themeColor="accent1"/>
        </w:rPr>
        <w:t>IWBANK</w:t>
      </w:r>
    </w:p>
    <w:p w14:paraId="67D80ECF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KCG EUROPE</w:t>
      </w:r>
    </w:p>
    <w:p w14:paraId="66BD194D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MEDIOBANCA</w:t>
      </w:r>
    </w:p>
    <w:p w14:paraId="7F8093B5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MERRILL LYNCH</w:t>
      </w:r>
    </w:p>
    <w:p w14:paraId="02AF86CF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MORGAN STANLEY</w:t>
      </w:r>
    </w:p>
    <w:p w14:paraId="22D37703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MPS CAPITAL SERVICES</w:t>
      </w:r>
    </w:p>
    <w:p w14:paraId="6534E29B" w14:textId="472E73C0" w:rsidR="00140CEA" w:rsidRDefault="00140CEA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>
        <w:rPr>
          <w:color w:val="4F81BD" w:themeColor="accent1"/>
        </w:rPr>
        <w:t>NEXI</w:t>
      </w:r>
    </w:p>
    <w:p w14:paraId="25897055" w14:textId="55F9A4D2" w:rsidR="00DF200B" w:rsidRPr="004251B7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4251B7">
        <w:rPr>
          <w:color w:val="4F81BD" w:themeColor="accent1"/>
        </w:rPr>
        <w:t>SOCIETE GENERALE</w:t>
      </w:r>
    </w:p>
    <w:p w14:paraId="24A726E0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UBI BANCA</w:t>
      </w:r>
    </w:p>
    <w:p w14:paraId="3B8B297B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UBS LTD</w:t>
      </w:r>
    </w:p>
    <w:p w14:paraId="64C31FCF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UNICREDIT BANK AG</w:t>
      </w:r>
    </w:p>
    <w:p w14:paraId="2CA83705" w14:textId="77777777" w:rsidR="00DF200B" w:rsidRDefault="00DF200B" w:rsidP="00DF200B">
      <w:pPr>
        <w:tabs>
          <w:tab w:val="left" w:pos="2340"/>
        </w:tabs>
        <w:jc w:val="center"/>
      </w:pPr>
    </w:p>
    <w:p w14:paraId="4C538718" w14:textId="77777777" w:rsidR="00DF200B" w:rsidRDefault="00DF200B" w:rsidP="00DF200B">
      <w:pPr>
        <w:tabs>
          <w:tab w:val="left" w:pos="2340"/>
        </w:tabs>
        <w:jc w:val="center"/>
      </w:pPr>
    </w:p>
    <w:p w14:paraId="3B727A1D" w14:textId="77777777" w:rsidR="00DF200B" w:rsidRDefault="00DF200B" w:rsidP="00DF200B">
      <w:pPr>
        <w:tabs>
          <w:tab w:val="left" w:pos="2340"/>
        </w:tabs>
        <w:jc w:val="center"/>
      </w:pPr>
    </w:p>
    <w:p w14:paraId="31C36E92" w14:textId="77777777" w:rsidR="00DF200B" w:rsidRDefault="00DF200B" w:rsidP="00DF200B">
      <w:pPr>
        <w:tabs>
          <w:tab w:val="left" w:pos="2340"/>
        </w:tabs>
        <w:jc w:val="center"/>
      </w:pPr>
    </w:p>
    <w:p w14:paraId="3175AE2F" w14:textId="77777777" w:rsidR="00DF200B" w:rsidRDefault="00DF200B" w:rsidP="00DF200B">
      <w:pPr>
        <w:tabs>
          <w:tab w:val="left" w:pos="2340"/>
        </w:tabs>
        <w:jc w:val="center"/>
      </w:pPr>
    </w:p>
    <w:p w14:paraId="0AA7FE12" w14:textId="77777777" w:rsidR="00DF200B" w:rsidRPr="003922FD" w:rsidRDefault="00DF200B" w:rsidP="00DF200B">
      <w:pPr>
        <w:tabs>
          <w:tab w:val="left" w:pos="2340"/>
        </w:tabs>
        <w:jc w:val="center"/>
        <w:rPr>
          <w:b/>
          <w:bCs/>
          <w:color w:val="4F81BD" w:themeColor="accent1"/>
          <w:sz w:val="32"/>
          <w:szCs w:val="32"/>
        </w:rPr>
      </w:pPr>
      <w:r w:rsidRPr="003922FD">
        <w:rPr>
          <w:b/>
          <w:bCs/>
          <w:color w:val="4F81BD" w:themeColor="accent1"/>
          <w:sz w:val="32"/>
          <w:szCs w:val="32"/>
        </w:rPr>
        <w:t>MERCATI REGOLAMENTATI</w:t>
      </w:r>
    </w:p>
    <w:p w14:paraId="69CAA678" w14:textId="77777777" w:rsidR="00DF200B" w:rsidRPr="003922FD" w:rsidRDefault="00DF200B" w:rsidP="00743854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BORSA ITALIANA</w:t>
      </w:r>
    </w:p>
    <w:p w14:paraId="1195F41C" w14:textId="77777777" w:rsidR="004506CE" w:rsidRDefault="004506CE" w:rsidP="004506CE">
      <w:pPr>
        <w:tabs>
          <w:tab w:val="left" w:pos="2340"/>
        </w:tabs>
        <w:spacing w:after="0"/>
        <w:rPr>
          <w:color w:val="4F81BD" w:themeColor="accent1"/>
        </w:rPr>
      </w:pPr>
      <w:r w:rsidRPr="003922FD">
        <w:rPr>
          <w:color w:val="4F81BD" w:themeColor="accent1"/>
        </w:rPr>
        <w:t>EQUIDUCT</w:t>
      </w:r>
    </w:p>
    <w:p w14:paraId="40C288AC" w14:textId="77777777" w:rsidR="004506CE" w:rsidRPr="003922FD" w:rsidRDefault="004506CE" w:rsidP="004506CE">
      <w:pPr>
        <w:tabs>
          <w:tab w:val="left" w:pos="2340"/>
        </w:tabs>
        <w:spacing w:after="0"/>
        <w:rPr>
          <w:color w:val="4F81BD" w:themeColor="accent1"/>
        </w:rPr>
      </w:pPr>
    </w:p>
    <w:p w14:paraId="020218A9" w14:textId="77777777" w:rsidR="00DF200B" w:rsidRPr="00DF200B" w:rsidRDefault="00DF200B" w:rsidP="00DF200B">
      <w:pPr>
        <w:tabs>
          <w:tab w:val="left" w:pos="2340"/>
        </w:tabs>
        <w:jc w:val="center"/>
        <w:rPr>
          <w:b/>
          <w:bCs/>
          <w:color w:val="4F81BD" w:themeColor="accent1"/>
          <w:sz w:val="32"/>
          <w:szCs w:val="32"/>
          <w:lang w:val="en-US"/>
        </w:rPr>
      </w:pPr>
      <w:r w:rsidRPr="00DF200B">
        <w:rPr>
          <w:b/>
          <w:bCs/>
          <w:color w:val="4F81BD" w:themeColor="accent1"/>
          <w:sz w:val="32"/>
          <w:szCs w:val="32"/>
          <w:lang w:val="en-US"/>
        </w:rPr>
        <w:t>MTF</w:t>
      </w:r>
    </w:p>
    <w:p w14:paraId="2578CDA2" w14:textId="77777777" w:rsidR="00DF200B" w:rsidRPr="00DF200B" w:rsidRDefault="00DF200B" w:rsidP="00DF200B">
      <w:pPr>
        <w:tabs>
          <w:tab w:val="left" w:pos="2340"/>
        </w:tabs>
        <w:spacing w:after="0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EUROTLX SIM</w:t>
      </w:r>
    </w:p>
    <w:p w14:paraId="26758936" w14:textId="19E9DD81" w:rsidR="00DF200B" w:rsidRDefault="00DF200B" w:rsidP="00DF200B">
      <w:pPr>
        <w:tabs>
          <w:tab w:val="left" w:pos="2340"/>
        </w:tabs>
        <w:spacing w:after="0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HI MTF SIM</w:t>
      </w:r>
    </w:p>
    <w:p w14:paraId="3BE35CE1" w14:textId="4DE0ED57" w:rsidR="00140CEA" w:rsidRPr="00DF200B" w:rsidRDefault="00140CEA" w:rsidP="00DF200B">
      <w:pPr>
        <w:tabs>
          <w:tab w:val="left" w:pos="2340"/>
        </w:tabs>
        <w:spacing w:after="0"/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>SEDEX</w:t>
      </w:r>
    </w:p>
    <w:p w14:paraId="061DA06E" w14:textId="261D4FBC" w:rsidR="00DF200B" w:rsidRPr="003922FD" w:rsidRDefault="00DF200B" w:rsidP="00DF200B">
      <w:pPr>
        <w:tabs>
          <w:tab w:val="left" w:pos="2340"/>
        </w:tabs>
        <w:spacing w:after="0"/>
        <w:rPr>
          <w:color w:val="4F81BD" w:themeColor="accent1"/>
        </w:rPr>
      </w:pPr>
    </w:p>
    <w:p w14:paraId="39A05E33" w14:textId="4A909182" w:rsidR="00DF200B" w:rsidRPr="003922FD" w:rsidRDefault="00DF200B" w:rsidP="00DF200B">
      <w:pPr>
        <w:tabs>
          <w:tab w:val="left" w:pos="2340"/>
        </w:tabs>
        <w:jc w:val="center"/>
        <w:rPr>
          <w:b/>
          <w:bCs/>
          <w:color w:val="4F81BD" w:themeColor="accent1"/>
          <w:sz w:val="32"/>
          <w:szCs w:val="32"/>
        </w:rPr>
      </w:pPr>
      <w:r w:rsidRPr="003922FD">
        <w:rPr>
          <w:b/>
          <w:bCs/>
          <w:color w:val="4F81BD" w:themeColor="accent1"/>
          <w:sz w:val="32"/>
          <w:szCs w:val="32"/>
        </w:rPr>
        <w:t xml:space="preserve">INTERNALIZZATORI </w:t>
      </w:r>
      <w:r w:rsidR="00366245">
        <w:rPr>
          <w:b/>
          <w:bCs/>
          <w:color w:val="4F81BD" w:themeColor="accent1"/>
          <w:sz w:val="32"/>
          <w:szCs w:val="32"/>
        </w:rPr>
        <w:t>SISTEMATICI</w:t>
      </w:r>
    </w:p>
    <w:p w14:paraId="584A93E2" w14:textId="77777777" w:rsidR="00DF200B" w:rsidRPr="003922FD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</w:rPr>
      </w:pPr>
      <w:r w:rsidRPr="003922FD">
        <w:rPr>
          <w:color w:val="4F81BD" w:themeColor="accent1"/>
        </w:rPr>
        <w:t>BANCA AKROS</w:t>
      </w:r>
    </w:p>
    <w:p w14:paraId="6BF0F4D3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FINECOBANK</w:t>
      </w:r>
    </w:p>
    <w:p w14:paraId="15ED3C44" w14:textId="77777777" w:rsidR="00DF200B" w:rsidRP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INVEST BANCA</w:t>
      </w:r>
    </w:p>
    <w:p w14:paraId="492DA8B0" w14:textId="77777777" w:rsidR="00DF200B" w:rsidRDefault="00DF200B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  <w:r w:rsidRPr="00DF200B">
        <w:rPr>
          <w:color w:val="4F81BD" w:themeColor="accent1"/>
          <w:lang w:val="en-US"/>
        </w:rPr>
        <w:t>MPS CAPITAL SERVICES</w:t>
      </w:r>
    </w:p>
    <w:p w14:paraId="77AD3350" w14:textId="77777777" w:rsidR="00904794" w:rsidRDefault="00904794" w:rsidP="00DF200B">
      <w:pPr>
        <w:tabs>
          <w:tab w:val="left" w:pos="2340"/>
        </w:tabs>
        <w:spacing w:after="0"/>
        <w:jc w:val="both"/>
        <w:rPr>
          <w:color w:val="4F81BD" w:themeColor="accent1"/>
          <w:lang w:val="en-US"/>
        </w:rPr>
      </w:pPr>
    </w:p>
    <w:p w14:paraId="71D84C67" w14:textId="77777777" w:rsidR="003A69D6" w:rsidRDefault="00904794" w:rsidP="003A69D6">
      <w:pPr>
        <w:tabs>
          <w:tab w:val="left" w:pos="2340"/>
        </w:tabs>
        <w:spacing w:after="0"/>
        <w:jc w:val="both"/>
        <w:rPr>
          <w:b/>
          <w:bCs/>
          <w:color w:val="4F81BD" w:themeColor="accent1"/>
          <w:sz w:val="32"/>
          <w:szCs w:val="32"/>
        </w:rPr>
      </w:pPr>
      <w:r w:rsidRPr="00904794">
        <w:rPr>
          <w:b/>
          <w:bCs/>
          <w:color w:val="4F81BD" w:themeColor="accent1"/>
          <w:sz w:val="32"/>
          <w:szCs w:val="32"/>
        </w:rPr>
        <w:t>NOT</w:t>
      </w:r>
      <w:r>
        <w:rPr>
          <w:b/>
          <w:bCs/>
          <w:color w:val="4F81BD" w:themeColor="accent1"/>
          <w:sz w:val="32"/>
          <w:szCs w:val="32"/>
        </w:rPr>
        <w:t>E:</w:t>
      </w:r>
    </w:p>
    <w:p w14:paraId="711283EA" w14:textId="3EF4CF9C" w:rsidR="000F152A" w:rsidRPr="000F152A" w:rsidRDefault="000F152A" w:rsidP="00A4623B">
      <w:pPr>
        <w:tabs>
          <w:tab w:val="left" w:pos="2340"/>
        </w:tabs>
        <w:spacing w:after="0"/>
        <w:jc w:val="both"/>
        <w:rPr>
          <w:color w:val="4F81BD" w:themeColor="accent1"/>
        </w:rPr>
      </w:pPr>
    </w:p>
    <w:sectPr w:rsidR="000F152A" w:rsidRPr="000F152A" w:rsidSect="00626B76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0775" w14:textId="77777777" w:rsidR="0019583A" w:rsidRDefault="0019583A" w:rsidP="003177C6">
      <w:pPr>
        <w:spacing w:after="0" w:line="240" w:lineRule="auto"/>
      </w:pPr>
      <w:r>
        <w:separator/>
      </w:r>
    </w:p>
  </w:endnote>
  <w:endnote w:type="continuationSeparator" w:id="0">
    <w:p w14:paraId="7D45610C" w14:textId="77777777" w:rsidR="0019583A" w:rsidRDefault="0019583A" w:rsidP="0031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3FBB" w14:textId="77777777" w:rsidR="0019583A" w:rsidRPr="00C41B45" w:rsidRDefault="00367F9F">
    <w:pPr>
      <w:pStyle w:val="Pidipagina"/>
      <w:rPr>
        <w:i/>
        <w:color w:val="1F497D" w:themeColor="text2"/>
        <w:sz w:val="24"/>
        <w:szCs w:val="24"/>
      </w:rPr>
    </w:pPr>
    <w:sdt>
      <w:sdtPr>
        <w:rPr>
          <w:i/>
          <w:color w:val="1F497D" w:themeColor="text2"/>
          <w:sz w:val="24"/>
          <w:szCs w:val="24"/>
        </w:rPr>
        <w:alias w:val="Autore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9583A" w:rsidRPr="00C41B45">
          <w:rPr>
            <w:i/>
            <w:color w:val="1F497D" w:themeColor="text2"/>
            <w:sz w:val="24"/>
            <w:szCs w:val="24"/>
          </w:rPr>
          <w:t>Area Compliance, Markets &amp; Operations</w:t>
        </w:r>
      </w:sdtContent>
    </w:sdt>
  </w:p>
  <w:p w14:paraId="6AB9B3A3" w14:textId="77777777" w:rsidR="0019583A" w:rsidRDefault="0019583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760C2" wp14:editId="07E7CDF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32EBC2" w14:textId="1668A7A7" w:rsidR="0019583A" w:rsidRPr="00C41B45" w:rsidRDefault="0019583A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C41B45">
                            <w:rPr>
                              <w:rFonts w:asciiTheme="majorHAnsi" w:hAnsiTheme="majorHAnsi"/>
                              <w:color w:val="1F497D" w:themeColor="text2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C41B45">
                            <w:rPr>
                              <w:rFonts w:asciiTheme="majorHAnsi" w:hAnsiTheme="majorHAnsi"/>
                              <w:color w:val="1F497D" w:themeColor="text2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C41B45">
                            <w:rPr>
                              <w:rFonts w:asciiTheme="majorHAnsi" w:hAnsiTheme="majorHAnsi"/>
                              <w:color w:val="1F497D" w:themeColor="text2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>17</w:t>
                          </w:r>
                          <w:r w:rsidRPr="00C41B45">
                            <w:rPr>
                              <w:rFonts w:asciiTheme="majorHAnsi" w:hAnsiTheme="majorHAnsi"/>
                              <w:color w:val="1F497D" w:themeColor="text2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760C2"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3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14:paraId="1032EBC2" w14:textId="1668A7A7" w:rsidR="0019583A" w:rsidRPr="00C41B45" w:rsidRDefault="0019583A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1F497D" w:themeColor="text2"/>
                        <w:sz w:val="40"/>
                        <w:szCs w:val="40"/>
                      </w:rPr>
                    </w:pPr>
                    <w:r w:rsidRPr="00C41B45">
                      <w:rPr>
                        <w:rFonts w:asciiTheme="majorHAnsi" w:hAnsiTheme="majorHAnsi"/>
                        <w:color w:val="1F497D" w:themeColor="text2"/>
                        <w:sz w:val="40"/>
                        <w:szCs w:val="40"/>
                      </w:rPr>
                      <w:fldChar w:fldCharType="begin"/>
                    </w:r>
                    <w:r w:rsidRPr="00C41B45">
                      <w:rPr>
                        <w:rFonts w:asciiTheme="majorHAnsi" w:hAnsiTheme="majorHAnsi"/>
                        <w:color w:val="1F497D" w:themeColor="text2"/>
                        <w:sz w:val="40"/>
                        <w:szCs w:val="40"/>
                      </w:rPr>
                      <w:instrText>PAGE  \* Arabic  \* MERGEFORMAT</w:instrText>
                    </w:r>
                    <w:r w:rsidRPr="00C41B45">
                      <w:rPr>
                        <w:rFonts w:asciiTheme="majorHAnsi" w:hAnsiTheme="majorHAnsi"/>
                        <w:color w:val="1F497D" w:themeColor="text2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1F497D" w:themeColor="text2"/>
                        <w:sz w:val="40"/>
                        <w:szCs w:val="40"/>
                      </w:rPr>
                      <w:t>17</w:t>
                    </w:r>
                    <w:r w:rsidRPr="00C41B45">
                      <w:rPr>
                        <w:rFonts w:asciiTheme="majorHAnsi" w:hAnsiTheme="majorHAnsi"/>
                        <w:color w:val="1F497D" w:themeColor="text2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2D54E40" wp14:editId="2C27DF1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3509B"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055F" w14:textId="77777777" w:rsidR="0019583A" w:rsidRDefault="0019583A" w:rsidP="003177C6">
      <w:pPr>
        <w:spacing w:after="0" w:line="240" w:lineRule="auto"/>
      </w:pPr>
      <w:r>
        <w:separator/>
      </w:r>
    </w:p>
  </w:footnote>
  <w:footnote w:type="continuationSeparator" w:id="0">
    <w:p w14:paraId="3B42D4D7" w14:textId="77777777" w:rsidR="0019583A" w:rsidRDefault="0019583A" w:rsidP="0031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60"/>
      <w:gridCol w:w="6908"/>
    </w:tblGrid>
    <w:tr w:rsidR="0019583A" w14:paraId="20B0A529" w14:textId="77777777" w:rsidTr="00EE20F8">
      <w:sdt>
        <w:sdtPr>
          <w:rPr>
            <w:color w:val="FFFFFF" w:themeColor="background1"/>
          </w:rPr>
          <w:alias w:val="Data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 w:fullDate="2018-07-19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17365D" w:themeFill="text2" w:themeFillShade="BF"/>
              <w:vAlign w:val="bottom"/>
            </w:tcPr>
            <w:p w14:paraId="178D895E" w14:textId="18CDD6CD" w:rsidR="0019583A" w:rsidRDefault="00367F9F" w:rsidP="00906243">
              <w:pPr>
                <w:pStyle w:val="Intestazione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19 luglio 2018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2BDB8CAD" w14:textId="24B0B14B" w:rsidR="0019583A" w:rsidRDefault="00367F9F" w:rsidP="00906243">
          <w:pPr>
            <w:pStyle w:val="Intestazione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color w:val="1F497D" w:themeColor="text2"/>
                <w:sz w:val="24"/>
              </w:rPr>
              <w:alias w:val="Titolo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9583A">
                <w:rPr>
                  <w:b/>
                  <w:bCs/>
                  <w:caps/>
                  <w:color w:val="1F497D" w:themeColor="text2"/>
                  <w:sz w:val="24"/>
                </w:rPr>
                <w:t>Rapporto 1° semestre 2018</w:t>
              </w:r>
            </w:sdtContent>
          </w:sdt>
        </w:p>
      </w:tc>
    </w:tr>
  </w:tbl>
  <w:p w14:paraId="33BCE758" w14:textId="77777777" w:rsidR="0019583A" w:rsidRDefault="001958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DC82" w14:textId="5B26B0D6" w:rsidR="0019583A" w:rsidRDefault="0019583A" w:rsidP="00D3605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65AE3AC" wp14:editId="64EE33B1">
          <wp:extent cx="3781425" cy="676275"/>
          <wp:effectExtent l="0" t="0" r="9525" b="9525"/>
          <wp:docPr id="1" name="Immagine 1" descr="Macintosh HD:Users:imac:Desktop:Logo x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:Desktop:Logo x 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5037" cy="67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CD0"/>
    <w:multiLevelType w:val="hybridMultilevel"/>
    <w:tmpl w:val="64962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D47"/>
    <w:multiLevelType w:val="hybridMultilevel"/>
    <w:tmpl w:val="2ABC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920"/>
    <w:multiLevelType w:val="hybridMultilevel"/>
    <w:tmpl w:val="EFBA5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7B7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BC241A"/>
    <w:multiLevelType w:val="hybridMultilevel"/>
    <w:tmpl w:val="CBFC1FD2"/>
    <w:lvl w:ilvl="0" w:tplc="8C9CBD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64283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63E4"/>
    <w:multiLevelType w:val="multilevel"/>
    <w:tmpl w:val="D0F4D7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75D9"/>
    <w:multiLevelType w:val="hybridMultilevel"/>
    <w:tmpl w:val="9EAE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CC0"/>
    <w:multiLevelType w:val="hybridMultilevel"/>
    <w:tmpl w:val="0FDA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A742B"/>
    <w:multiLevelType w:val="hybridMultilevel"/>
    <w:tmpl w:val="FFA020D6"/>
    <w:lvl w:ilvl="0" w:tplc="8C9CBD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0DA12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7C6"/>
    <w:rsid w:val="000045B7"/>
    <w:rsid w:val="0001552A"/>
    <w:rsid w:val="00020001"/>
    <w:rsid w:val="00030E50"/>
    <w:rsid w:val="00033F6D"/>
    <w:rsid w:val="00055E97"/>
    <w:rsid w:val="00065720"/>
    <w:rsid w:val="00066FA6"/>
    <w:rsid w:val="00067E81"/>
    <w:rsid w:val="0007572A"/>
    <w:rsid w:val="000868B5"/>
    <w:rsid w:val="000901A4"/>
    <w:rsid w:val="000956C2"/>
    <w:rsid w:val="000966D1"/>
    <w:rsid w:val="000A7988"/>
    <w:rsid w:val="000B2A99"/>
    <w:rsid w:val="000B3154"/>
    <w:rsid w:val="000B61E4"/>
    <w:rsid w:val="000B7D2C"/>
    <w:rsid w:val="000D1F99"/>
    <w:rsid w:val="000D7964"/>
    <w:rsid w:val="000E3F61"/>
    <w:rsid w:val="000E460B"/>
    <w:rsid w:val="000F152A"/>
    <w:rsid w:val="000F2804"/>
    <w:rsid w:val="000F2D9B"/>
    <w:rsid w:val="000F42BF"/>
    <w:rsid w:val="0010160E"/>
    <w:rsid w:val="00102F9B"/>
    <w:rsid w:val="00104051"/>
    <w:rsid w:val="001069CF"/>
    <w:rsid w:val="0011011B"/>
    <w:rsid w:val="00111AF7"/>
    <w:rsid w:val="00120199"/>
    <w:rsid w:val="00134DF5"/>
    <w:rsid w:val="00140CEA"/>
    <w:rsid w:val="0015119E"/>
    <w:rsid w:val="00153419"/>
    <w:rsid w:val="001534D4"/>
    <w:rsid w:val="00154F82"/>
    <w:rsid w:val="0016076E"/>
    <w:rsid w:val="00177234"/>
    <w:rsid w:val="0018014D"/>
    <w:rsid w:val="0018577E"/>
    <w:rsid w:val="00186321"/>
    <w:rsid w:val="001951EA"/>
    <w:rsid w:val="0019583A"/>
    <w:rsid w:val="00195E45"/>
    <w:rsid w:val="001B394F"/>
    <w:rsid w:val="001C22AB"/>
    <w:rsid w:val="001C4CAB"/>
    <w:rsid w:val="001C71A1"/>
    <w:rsid w:val="001D26D6"/>
    <w:rsid w:val="001D4C19"/>
    <w:rsid w:val="001D58CF"/>
    <w:rsid w:val="001E2595"/>
    <w:rsid w:val="001E42BC"/>
    <w:rsid w:val="001E5392"/>
    <w:rsid w:val="001E5FC0"/>
    <w:rsid w:val="001F7B60"/>
    <w:rsid w:val="00205CBA"/>
    <w:rsid w:val="00215151"/>
    <w:rsid w:val="00221082"/>
    <w:rsid w:val="00257215"/>
    <w:rsid w:val="002601FA"/>
    <w:rsid w:val="00260B22"/>
    <w:rsid w:val="00260B91"/>
    <w:rsid w:val="002627EF"/>
    <w:rsid w:val="0026665C"/>
    <w:rsid w:val="002676B2"/>
    <w:rsid w:val="00270B85"/>
    <w:rsid w:val="00272E5B"/>
    <w:rsid w:val="00275C15"/>
    <w:rsid w:val="002765F4"/>
    <w:rsid w:val="00277B20"/>
    <w:rsid w:val="00280987"/>
    <w:rsid w:val="00283C32"/>
    <w:rsid w:val="0029301D"/>
    <w:rsid w:val="002A0331"/>
    <w:rsid w:val="002A2312"/>
    <w:rsid w:val="002A7823"/>
    <w:rsid w:val="002B166E"/>
    <w:rsid w:val="002D5054"/>
    <w:rsid w:val="002D63C7"/>
    <w:rsid w:val="002E16CA"/>
    <w:rsid w:val="002E3078"/>
    <w:rsid w:val="002E381E"/>
    <w:rsid w:val="002E735C"/>
    <w:rsid w:val="002F0D86"/>
    <w:rsid w:val="002F1F2D"/>
    <w:rsid w:val="00301608"/>
    <w:rsid w:val="00304757"/>
    <w:rsid w:val="00307432"/>
    <w:rsid w:val="003138A4"/>
    <w:rsid w:val="00313D54"/>
    <w:rsid w:val="003177C6"/>
    <w:rsid w:val="00320490"/>
    <w:rsid w:val="00325971"/>
    <w:rsid w:val="00327953"/>
    <w:rsid w:val="00333334"/>
    <w:rsid w:val="00333B62"/>
    <w:rsid w:val="00335EE8"/>
    <w:rsid w:val="00345A01"/>
    <w:rsid w:val="00345C32"/>
    <w:rsid w:val="003470D4"/>
    <w:rsid w:val="0035100A"/>
    <w:rsid w:val="00366245"/>
    <w:rsid w:val="00366FB2"/>
    <w:rsid w:val="003670B0"/>
    <w:rsid w:val="00367E0C"/>
    <w:rsid w:val="00367F9F"/>
    <w:rsid w:val="00371272"/>
    <w:rsid w:val="00372706"/>
    <w:rsid w:val="00373763"/>
    <w:rsid w:val="0037715C"/>
    <w:rsid w:val="0038079E"/>
    <w:rsid w:val="00380ED4"/>
    <w:rsid w:val="00391075"/>
    <w:rsid w:val="00396F5D"/>
    <w:rsid w:val="003A4FFC"/>
    <w:rsid w:val="003A69D6"/>
    <w:rsid w:val="003A74CA"/>
    <w:rsid w:val="003B38D6"/>
    <w:rsid w:val="003C2439"/>
    <w:rsid w:val="003C32E1"/>
    <w:rsid w:val="003C5940"/>
    <w:rsid w:val="003C7DB8"/>
    <w:rsid w:val="003D42C6"/>
    <w:rsid w:val="003E24AE"/>
    <w:rsid w:val="003E2E46"/>
    <w:rsid w:val="003E4AD2"/>
    <w:rsid w:val="003E6111"/>
    <w:rsid w:val="003E7F20"/>
    <w:rsid w:val="003F0859"/>
    <w:rsid w:val="003F2949"/>
    <w:rsid w:val="00400F32"/>
    <w:rsid w:val="00404977"/>
    <w:rsid w:val="00411AD1"/>
    <w:rsid w:val="00413329"/>
    <w:rsid w:val="00414786"/>
    <w:rsid w:val="00415884"/>
    <w:rsid w:val="00443E4E"/>
    <w:rsid w:val="0044499B"/>
    <w:rsid w:val="004506CE"/>
    <w:rsid w:val="00451FC7"/>
    <w:rsid w:val="00453F04"/>
    <w:rsid w:val="004626D6"/>
    <w:rsid w:val="0046537A"/>
    <w:rsid w:val="00465BE4"/>
    <w:rsid w:val="00470564"/>
    <w:rsid w:val="00470EA2"/>
    <w:rsid w:val="00473A7D"/>
    <w:rsid w:val="004830E7"/>
    <w:rsid w:val="004902D6"/>
    <w:rsid w:val="00495460"/>
    <w:rsid w:val="004B1195"/>
    <w:rsid w:val="004B3111"/>
    <w:rsid w:val="004B4601"/>
    <w:rsid w:val="004B5A59"/>
    <w:rsid w:val="004B5FDA"/>
    <w:rsid w:val="004C43A3"/>
    <w:rsid w:val="004D75E8"/>
    <w:rsid w:val="004E0AE7"/>
    <w:rsid w:val="004E251F"/>
    <w:rsid w:val="004E63E0"/>
    <w:rsid w:val="004E6E15"/>
    <w:rsid w:val="004F02AE"/>
    <w:rsid w:val="004F1EB0"/>
    <w:rsid w:val="004F2213"/>
    <w:rsid w:val="004F3ED9"/>
    <w:rsid w:val="004F63FC"/>
    <w:rsid w:val="0050129A"/>
    <w:rsid w:val="00510D9B"/>
    <w:rsid w:val="0051276D"/>
    <w:rsid w:val="00512953"/>
    <w:rsid w:val="00534C1D"/>
    <w:rsid w:val="005362FE"/>
    <w:rsid w:val="005369C6"/>
    <w:rsid w:val="00541F92"/>
    <w:rsid w:val="00543CD0"/>
    <w:rsid w:val="0057065F"/>
    <w:rsid w:val="005759F5"/>
    <w:rsid w:val="0058310D"/>
    <w:rsid w:val="00586A68"/>
    <w:rsid w:val="00590C9D"/>
    <w:rsid w:val="00593FA8"/>
    <w:rsid w:val="005A1D20"/>
    <w:rsid w:val="005B1D52"/>
    <w:rsid w:val="005B362C"/>
    <w:rsid w:val="005B4690"/>
    <w:rsid w:val="005B494A"/>
    <w:rsid w:val="005B6E3E"/>
    <w:rsid w:val="005C37EA"/>
    <w:rsid w:val="005C73C4"/>
    <w:rsid w:val="005D0229"/>
    <w:rsid w:val="005D1739"/>
    <w:rsid w:val="005E44F5"/>
    <w:rsid w:val="005E65C3"/>
    <w:rsid w:val="005E784D"/>
    <w:rsid w:val="005E79B6"/>
    <w:rsid w:val="005F40E5"/>
    <w:rsid w:val="005F4942"/>
    <w:rsid w:val="00601B6F"/>
    <w:rsid w:val="00612D3E"/>
    <w:rsid w:val="006204D7"/>
    <w:rsid w:val="006233A2"/>
    <w:rsid w:val="00626B76"/>
    <w:rsid w:val="00630287"/>
    <w:rsid w:val="00630FBD"/>
    <w:rsid w:val="006369C4"/>
    <w:rsid w:val="00640365"/>
    <w:rsid w:val="006447C1"/>
    <w:rsid w:val="00645241"/>
    <w:rsid w:val="00647512"/>
    <w:rsid w:val="00654DC4"/>
    <w:rsid w:val="0065669E"/>
    <w:rsid w:val="0066198F"/>
    <w:rsid w:val="00673021"/>
    <w:rsid w:val="0067463F"/>
    <w:rsid w:val="00682F87"/>
    <w:rsid w:val="00687308"/>
    <w:rsid w:val="00687BBD"/>
    <w:rsid w:val="006949ED"/>
    <w:rsid w:val="00697986"/>
    <w:rsid w:val="00697FA3"/>
    <w:rsid w:val="006A381C"/>
    <w:rsid w:val="006A4789"/>
    <w:rsid w:val="006A480B"/>
    <w:rsid w:val="006A64DE"/>
    <w:rsid w:val="006B2324"/>
    <w:rsid w:val="006B267F"/>
    <w:rsid w:val="006B3D9C"/>
    <w:rsid w:val="006B776A"/>
    <w:rsid w:val="006B7B9F"/>
    <w:rsid w:val="006C532D"/>
    <w:rsid w:val="006D18E7"/>
    <w:rsid w:val="006D29A5"/>
    <w:rsid w:val="006D3165"/>
    <w:rsid w:val="006D79F1"/>
    <w:rsid w:val="006E32EE"/>
    <w:rsid w:val="006E70E6"/>
    <w:rsid w:val="006F21FB"/>
    <w:rsid w:val="0070028E"/>
    <w:rsid w:val="0070342C"/>
    <w:rsid w:val="0070356B"/>
    <w:rsid w:val="00705A64"/>
    <w:rsid w:val="00706B99"/>
    <w:rsid w:val="0071092B"/>
    <w:rsid w:val="00711BC4"/>
    <w:rsid w:val="007154AA"/>
    <w:rsid w:val="0072042E"/>
    <w:rsid w:val="007271D8"/>
    <w:rsid w:val="007319F1"/>
    <w:rsid w:val="00743854"/>
    <w:rsid w:val="00755159"/>
    <w:rsid w:val="00761426"/>
    <w:rsid w:val="007631AD"/>
    <w:rsid w:val="00764E1E"/>
    <w:rsid w:val="00774719"/>
    <w:rsid w:val="0078098E"/>
    <w:rsid w:val="007841BD"/>
    <w:rsid w:val="00792D12"/>
    <w:rsid w:val="0079494D"/>
    <w:rsid w:val="007A2C2A"/>
    <w:rsid w:val="007B74C0"/>
    <w:rsid w:val="007C5CBC"/>
    <w:rsid w:val="007D12E2"/>
    <w:rsid w:val="007D4AD8"/>
    <w:rsid w:val="007E399D"/>
    <w:rsid w:val="007E6858"/>
    <w:rsid w:val="007F037C"/>
    <w:rsid w:val="00812A1F"/>
    <w:rsid w:val="008130E2"/>
    <w:rsid w:val="00820BAE"/>
    <w:rsid w:val="00820FEA"/>
    <w:rsid w:val="00821235"/>
    <w:rsid w:val="0082366D"/>
    <w:rsid w:val="00831B71"/>
    <w:rsid w:val="00834422"/>
    <w:rsid w:val="00835FC7"/>
    <w:rsid w:val="008373FC"/>
    <w:rsid w:val="00843511"/>
    <w:rsid w:val="00845D08"/>
    <w:rsid w:val="0084673E"/>
    <w:rsid w:val="00853119"/>
    <w:rsid w:val="00861324"/>
    <w:rsid w:val="00865F7E"/>
    <w:rsid w:val="008705FC"/>
    <w:rsid w:val="00875087"/>
    <w:rsid w:val="00876807"/>
    <w:rsid w:val="008777E2"/>
    <w:rsid w:val="0088054D"/>
    <w:rsid w:val="00881922"/>
    <w:rsid w:val="008842C3"/>
    <w:rsid w:val="00885C72"/>
    <w:rsid w:val="00890B97"/>
    <w:rsid w:val="008A242C"/>
    <w:rsid w:val="008A346D"/>
    <w:rsid w:val="008A365E"/>
    <w:rsid w:val="008A4DBA"/>
    <w:rsid w:val="008A748C"/>
    <w:rsid w:val="008A7995"/>
    <w:rsid w:val="008B07C8"/>
    <w:rsid w:val="008B0973"/>
    <w:rsid w:val="008B097E"/>
    <w:rsid w:val="008B40BF"/>
    <w:rsid w:val="008B795C"/>
    <w:rsid w:val="008D0233"/>
    <w:rsid w:val="008D0C7E"/>
    <w:rsid w:val="008D1C29"/>
    <w:rsid w:val="008D3BF3"/>
    <w:rsid w:val="008D4D08"/>
    <w:rsid w:val="008D767C"/>
    <w:rsid w:val="008E0392"/>
    <w:rsid w:val="008E05D9"/>
    <w:rsid w:val="008E15AA"/>
    <w:rsid w:val="008E1687"/>
    <w:rsid w:val="008E1EBD"/>
    <w:rsid w:val="00904794"/>
    <w:rsid w:val="00906243"/>
    <w:rsid w:val="00916DE7"/>
    <w:rsid w:val="00924B00"/>
    <w:rsid w:val="00932B7D"/>
    <w:rsid w:val="00933E83"/>
    <w:rsid w:val="009420F6"/>
    <w:rsid w:val="009436DC"/>
    <w:rsid w:val="009467F6"/>
    <w:rsid w:val="00947C3F"/>
    <w:rsid w:val="009519A0"/>
    <w:rsid w:val="009522A0"/>
    <w:rsid w:val="00967E7A"/>
    <w:rsid w:val="00973392"/>
    <w:rsid w:val="00973E46"/>
    <w:rsid w:val="00975EBA"/>
    <w:rsid w:val="009806A2"/>
    <w:rsid w:val="00982D99"/>
    <w:rsid w:val="00984574"/>
    <w:rsid w:val="00990ACD"/>
    <w:rsid w:val="009911F2"/>
    <w:rsid w:val="00997ED0"/>
    <w:rsid w:val="009A2BE7"/>
    <w:rsid w:val="009A488C"/>
    <w:rsid w:val="009A4F94"/>
    <w:rsid w:val="009B575E"/>
    <w:rsid w:val="009C32C1"/>
    <w:rsid w:val="009C6DCB"/>
    <w:rsid w:val="009D588E"/>
    <w:rsid w:val="009E32B8"/>
    <w:rsid w:val="009E34B0"/>
    <w:rsid w:val="009F143A"/>
    <w:rsid w:val="009F7456"/>
    <w:rsid w:val="00A0090D"/>
    <w:rsid w:val="00A027E9"/>
    <w:rsid w:val="00A05F39"/>
    <w:rsid w:val="00A1033B"/>
    <w:rsid w:val="00A30C80"/>
    <w:rsid w:val="00A347C7"/>
    <w:rsid w:val="00A37C0A"/>
    <w:rsid w:val="00A4456C"/>
    <w:rsid w:val="00A4488D"/>
    <w:rsid w:val="00A4623B"/>
    <w:rsid w:val="00A4691E"/>
    <w:rsid w:val="00A47480"/>
    <w:rsid w:val="00A50B47"/>
    <w:rsid w:val="00A524BB"/>
    <w:rsid w:val="00A564CB"/>
    <w:rsid w:val="00A631D4"/>
    <w:rsid w:val="00A635A4"/>
    <w:rsid w:val="00A67CEE"/>
    <w:rsid w:val="00A7663C"/>
    <w:rsid w:val="00A769C6"/>
    <w:rsid w:val="00A81DE6"/>
    <w:rsid w:val="00A835D7"/>
    <w:rsid w:val="00A84D16"/>
    <w:rsid w:val="00A85E11"/>
    <w:rsid w:val="00A906FF"/>
    <w:rsid w:val="00A91EC9"/>
    <w:rsid w:val="00A979E4"/>
    <w:rsid w:val="00AA677B"/>
    <w:rsid w:val="00AC2493"/>
    <w:rsid w:val="00AC49BF"/>
    <w:rsid w:val="00AC6E74"/>
    <w:rsid w:val="00AD05E0"/>
    <w:rsid w:val="00AD1C3B"/>
    <w:rsid w:val="00AD1D92"/>
    <w:rsid w:val="00AD3078"/>
    <w:rsid w:val="00AD5412"/>
    <w:rsid w:val="00AD72A8"/>
    <w:rsid w:val="00AF0277"/>
    <w:rsid w:val="00AF18EC"/>
    <w:rsid w:val="00AF3474"/>
    <w:rsid w:val="00AF5054"/>
    <w:rsid w:val="00AF777E"/>
    <w:rsid w:val="00AF78CE"/>
    <w:rsid w:val="00AF7E2F"/>
    <w:rsid w:val="00B0730E"/>
    <w:rsid w:val="00B1197D"/>
    <w:rsid w:val="00B16BC5"/>
    <w:rsid w:val="00B2004F"/>
    <w:rsid w:val="00B2109F"/>
    <w:rsid w:val="00B2619C"/>
    <w:rsid w:val="00B5769E"/>
    <w:rsid w:val="00B73EB0"/>
    <w:rsid w:val="00B7550C"/>
    <w:rsid w:val="00B8012F"/>
    <w:rsid w:val="00B81AC4"/>
    <w:rsid w:val="00B8673E"/>
    <w:rsid w:val="00BA2739"/>
    <w:rsid w:val="00BA3E79"/>
    <w:rsid w:val="00BB0B84"/>
    <w:rsid w:val="00BB40C2"/>
    <w:rsid w:val="00BB444A"/>
    <w:rsid w:val="00BC68D2"/>
    <w:rsid w:val="00BC746B"/>
    <w:rsid w:val="00BD0873"/>
    <w:rsid w:val="00BD3DEE"/>
    <w:rsid w:val="00BD49CB"/>
    <w:rsid w:val="00BD7891"/>
    <w:rsid w:val="00BE3EDD"/>
    <w:rsid w:val="00BE6AD6"/>
    <w:rsid w:val="00BF3A5C"/>
    <w:rsid w:val="00C00443"/>
    <w:rsid w:val="00C07DDA"/>
    <w:rsid w:val="00C15B48"/>
    <w:rsid w:val="00C265CC"/>
    <w:rsid w:val="00C27A6D"/>
    <w:rsid w:val="00C31E4F"/>
    <w:rsid w:val="00C33F16"/>
    <w:rsid w:val="00C41B45"/>
    <w:rsid w:val="00C439EB"/>
    <w:rsid w:val="00C50E63"/>
    <w:rsid w:val="00C5444F"/>
    <w:rsid w:val="00C576E2"/>
    <w:rsid w:val="00C61645"/>
    <w:rsid w:val="00C674E6"/>
    <w:rsid w:val="00C70DA4"/>
    <w:rsid w:val="00C711DF"/>
    <w:rsid w:val="00C753CF"/>
    <w:rsid w:val="00C83B26"/>
    <w:rsid w:val="00C9032E"/>
    <w:rsid w:val="00C91980"/>
    <w:rsid w:val="00C94C6D"/>
    <w:rsid w:val="00CA63DD"/>
    <w:rsid w:val="00CB1A09"/>
    <w:rsid w:val="00CB528F"/>
    <w:rsid w:val="00CB5B4A"/>
    <w:rsid w:val="00CC01BF"/>
    <w:rsid w:val="00CC100E"/>
    <w:rsid w:val="00CC3B40"/>
    <w:rsid w:val="00CE1080"/>
    <w:rsid w:val="00CE1888"/>
    <w:rsid w:val="00CE50F1"/>
    <w:rsid w:val="00CE7986"/>
    <w:rsid w:val="00CE7A48"/>
    <w:rsid w:val="00CF6093"/>
    <w:rsid w:val="00CF7910"/>
    <w:rsid w:val="00D177BD"/>
    <w:rsid w:val="00D235DF"/>
    <w:rsid w:val="00D23EB1"/>
    <w:rsid w:val="00D26347"/>
    <w:rsid w:val="00D3605D"/>
    <w:rsid w:val="00D3639B"/>
    <w:rsid w:val="00D3781F"/>
    <w:rsid w:val="00D40DD5"/>
    <w:rsid w:val="00D4401B"/>
    <w:rsid w:val="00D45D3C"/>
    <w:rsid w:val="00D506B9"/>
    <w:rsid w:val="00D539A1"/>
    <w:rsid w:val="00D542A1"/>
    <w:rsid w:val="00D54B28"/>
    <w:rsid w:val="00D550AD"/>
    <w:rsid w:val="00D557E3"/>
    <w:rsid w:val="00D56929"/>
    <w:rsid w:val="00D62CA5"/>
    <w:rsid w:val="00D646CC"/>
    <w:rsid w:val="00D713FA"/>
    <w:rsid w:val="00D741AF"/>
    <w:rsid w:val="00D84DCA"/>
    <w:rsid w:val="00D86539"/>
    <w:rsid w:val="00DA0F63"/>
    <w:rsid w:val="00DA374B"/>
    <w:rsid w:val="00DA4612"/>
    <w:rsid w:val="00DB0B16"/>
    <w:rsid w:val="00DC5495"/>
    <w:rsid w:val="00DD014E"/>
    <w:rsid w:val="00DD7A10"/>
    <w:rsid w:val="00DE0999"/>
    <w:rsid w:val="00DE1813"/>
    <w:rsid w:val="00DE6499"/>
    <w:rsid w:val="00DF1D3D"/>
    <w:rsid w:val="00DF200B"/>
    <w:rsid w:val="00DF5E05"/>
    <w:rsid w:val="00DF7816"/>
    <w:rsid w:val="00E01FC3"/>
    <w:rsid w:val="00E025A5"/>
    <w:rsid w:val="00E048AA"/>
    <w:rsid w:val="00E152B7"/>
    <w:rsid w:val="00E16918"/>
    <w:rsid w:val="00E23A51"/>
    <w:rsid w:val="00E346DA"/>
    <w:rsid w:val="00E41793"/>
    <w:rsid w:val="00E437C8"/>
    <w:rsid w:val="00E65DED"/>
    <w:rsid w:val="00E666F5"/>
    <w:rsid w:val="00E70A50"/>
    <w:rsid w:val="00E74A81"/>
    <w:rsid w:val="00E770D6"/>
    <w:rsid w:val="00E833CF"/>
    <w:rsid w:val="00E90123"/>
    <w:rsid w:val="00EA22F6"/>
    <w:rsid w:val="00EA435C"/>
    <w:rsid w:val="00EB267C"/>
    <w:rsid w:val="00EB49DE"/>
    <w:rsid w:val="00ED1BA6"/>
    <w:rsid w:val="00EE186C"/>
    <w:rsid w:val="00EE20F8"/>
    <w:rsid w:val="00EE6678"/>
    <w:rsid w:val="00F03C29"/>
    <w:rsid w:val="00F048E2"/>
    <w:rsid w:val="00F06286"/>
    <w:rsid w:val="00F13F57"/>
    <w:rsid w:val="00F20E0A"/>
    <w:rsid w:val="00F212C0"/>
    <w:rsid w:val="00F32E0E"/>
    <w:rsid w:val="00F5010D"/>
    <w:rsid w:val="00F57496"/>
    <w:rsid w:val="00F655A6"/>
    <w:rsid w:val="00F707C6"/>
    <w:rsid w:val="00F856F6"/>
    <w:rsid w:val="00F858F3"/>
    <w:rsid w:val="00F85D74"/>
    <w:rsid w:val="00F86FA6"/>
    <w:rsid w:val="00F87156"/>
    <w:rsid w:val="00F877A4"/>
    <w:rsid w:val="00FA216C"/>
    <w:rsid w:val="00FA52EA"/>
    <w:rsid w:val="00FB695D"/>
    <w:rsid w:val="00FC1E8F"/>
    <w:rsid w:val="00FC3FC2"/>
    <w:rsid w:val="00FD1479"/>
    <w:rsid w:val="00FD7A9F"/>
    <w:rsid w:val="00FE0F1B"/>
    <w:rsid w:val="00FF14D0"/>
    <w:rsid w:val="00FF2761"/>
    <w:rsid w:val="00FF32A6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A48E8B0"/>
  <w15:docId w15:val="{5640B4EC-3FCE-4853-8A68-D1C1AF5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6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7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7C6"/>
  </w:style>
  <w:style w:type="paragraph" w:styleId="Pidipagina">
    <w:name w:val="footer"/>
    <w:basedOn w:val="Normale"/>
    <w:link w:val="PidipaginaCarattere"/>
    <w:uiPriority w:val="99"/>
    <w:unhideWhenUsed/>
    <w:rsid w:val="00317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7C6"/>
  </w:style>
  <w:style w:type="paragraph" w:customStyle="1" w:styleId="A0E349F008B644AAB6A282E0D042D17E">
    <w:name w:val="A0E349F008B644AAB6A282E0D042D17E"/>
    <w:rsid w:val="003177C6"/>
    <w:rPr>
      <w:rFonts w:eastAsiaTheme="minorEastAsia"/>
      <w:lang w:eastAsia="it-IT"/>
    </w:rPr>
  </w:style>
  <w:style w:type="table" w:styleId="Sfondomedio2-Colore1">
    <w:name w:val="Medium Shading 2 Accent 1"/>
    <w:basedOn w:val="Tabellanormale"/>
    <w:uiPriority w:val="64"/>
    <w:rsid w:val="00F85D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AF18EC"/>
    <w:pPr>
      <w:ind w:left="720"/>
      <w:contextualSpacing/>
    </w:pPr>
  </w:style>
  <w:style w:type="table" w:customStyle="1" w:styleId="Sfondomedio2-Colore11">
    <w:name w:val="Sfondo medio 2 - Colore 11"/>
    <w:basedOn w:val="Tabellanormale"/>
    <w:next w:val="Sfondomedio2-Colore1"/>
    <w:uiPriority w:val="64"/>
    <w:rsid w:val="00AF18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2">
    <w:name w:val="Sfondo medio 2 - Colore 12"/>
    <w:basedOn w:val="Tabellanormale"/>
    <w:next w:val="Sfondomedio2-Colore1"/>
    <w:uiPriority w:val="64"/>
    <w:rsid w:val="00AF18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3">
    <w:name w:val="Sfondo medio 2 - Colore 13"/>
    <w:basedOn w:val="Tabellanormale"/>
    <w:next w:val="Sfondomedio2-Colore1"/>
    <w:uiPriority w:val="64"/>
    <w:rsid w:val="000F28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4">
    <w:name w:val="Sfondo medio 2 - Colore 14"/>
    <w:basedOn w:val="Tabellanormale"/>
    <w:next w:val="Sfondomedio2-Colore1"/>
    <w:uiPriority w:val="64"/>
    <w:rsid w:val="00626B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31E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E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E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1E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1E4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31E4F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510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CCDA9-B9E3-4266-BFC0-AD46E6AA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65</Pages>
  <Words>12089</Words>
  <Characters>68913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1° semestre 2018</vt:lpstr>
    </vt:vector>
  </TitlesOfParts>
  <Company/>
  <LinksUpToDate>false</LinksUpToDate>
  <CharactersWithSpaces>80841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1° semestre 2018</dc:title>
  <dc:subject>Dati sui volumi di negoziazione delle Associate</dc:subject>
  <dc:creator>Area Compliance, Markets &amp; Operations</dc:creator>
  <cp:lastModifiedBy>Marco Biordi</cp:lastModifiedBy>
  <cp:revision>132</cp:revision>
  <cp:lastPrinted>2018-07-18T08:52:00Z</cp:lastPrinted>
  <dcterms:created xsi:type="dcterms:W3CDTF">2016-07-11T14:15:00Z</dcterms:created>
  <dcterms:modified xsi:type="dcterms:W3CDTF">2018-07-18T09:34:00Z</dcterms:modified>
</cp:coreProperties>
</file>